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32F719" w14:textId="77189802" w:rsidR="00871F8C" w:rsidRDefault="00A609F0" w:rsidP="00A609F0">
      <w:pPr>
        <w:tabs>
          <w:tab w:val="center" w:pos="4536"/>
          <w:tab w:val="right" w:pos="8280"/>
          <w:tab w:val="right" w:pos="9639"/>
        </w:tabs>
        <w:ind w:right="2"/>
        <w:rPr>
          <w:rFonts w:ascii="Arial" w:hAnsi="Arial" w:cs="Arial"/>
          <w:b/>
          <w:bCs/>
        </w:rPr>
      </w:pPr>
      <w:bookmarkStart w:id="0" w:name="_GoBack"/>
      <w:bookmarkEnd w:id="0"/>
      <w:r w:rsidRPr="00435F1E">
        <w:rPr>
          <w:rFonts w:ascii="Arial" w:hAnsi="Arial" w:cs="Arial"/>
          <w:b/>
          <w:bCs/>
        </w:rPr>
        <w:t>3GPP TSG RAN WG1 #98</w:t>
      </w:r>
      <w:r w:rsidR="00A41B9C">
        <w:rPr>
          <w:rFonts w:ascii="Arial" w:hAnsi="Arial" w:cs="Arial"/>
          <w:b/>
          <w:bCs/>
        </w:rPr>
        <w:t>bis</w:t>
      </w:r>
      <w:r w:rsidRPr="00435F1E">
        <w:rPr>
          <w:rFonts w:ascii="Arial" w:hAnsi="Arial" w:cs="Arial"/>
          <w:b/>
          <w:bCs/>
        </w:rPr>
        <w:tab/>
      </w:r>
      <w:r w:rsidRPr="00435F1E">
        <w:rPr>
          <w:rFonts w:ascii="Arial" w:hAnsi="Arial" w:cs="Arial"/>
          <w:b/>
          <w:bCs/>
        </w:rPr>
        <w:tab/>
      </w:r>
      <w:r w:rsidR="00871F8C">
        <w:rPr>
          <w:rFonts w:ascii="Arial" w:hAnsi="Arial" w:cs="Arial"/>
          <w:b/>
          <w:bCs/>
        </w:rPr>
        <w:tab/>
      </w:r>
      <w:r w:rsidR="00871F8C" w:rsidRPr="00871F8C">
        <w:rPr>
          <w:rFonts w:ascii="Arial" w:hAnsi="Arial" w:cs="Arial"/>
          <w:b/>
          <w:bCs/>
        </w:rPr>
        <w:t>R1-19</w:t>
      </w:r>
      <w:r w:rsidR="00FC6EA9">
        <w:rPr>
          <w:rFonts w:ascii="Arial" w:hAnsi="Arial" w:cs="Arial"/>
          <w:b/>
          <w:bCs/>
        </w:rPr>
        <w:t>10961</w:t>
      </w:r>
    </w:p>
    <w:p w14:paraId="4C1C6137" w14:textId="3C337582" w:rsidR="00A609F0" w:rsidRPr="00435F1E" w:rsidRDefault="00A41B9C" w:rsidP="00A609F0">
      <w:pPr>
        <w:tabs>
          <w:tab w:val="center" w:pos="4536"/>
          <w:tab w:val="right" w:pos="9072"/>
        </w:tabs>
        <w:rPr>
          <w:rFonts w:ascii="Arial" w:eastAsia="MS Mincho" w:hAnsi="Arial" w:cs="Arial"/>
          <w:b/>
          <w:bCs/>
          <w:lang w:eastAsia="ja-JP"/>
        </w:rPr>
      </w:pPr>
      <w:r>
        <w:rPr>
          <w:rFonts w:ascii="Arial" w:eastAsia="MS Mincho" w:hAnsi="Arial" w:cs="Arial"/>
          <w:b/>
          <w:bCs/>
          <w:lang w:eastAsia="ja-JP"/>
        </w:rPr>
        <w:t>Chongqing</w:t>
      </w:r>
      <w:r w:rsidR="00A609F0" w:rsidRPr="00435F1E">
        <w:rPr>
          <w:rFonts w:ascii="Arial" w:eastAsia="MS Mincho" w:hAnsi="Arial" w:cs="Arial"/>
          <w:b/>
          <w:bCs/>
          <w:lang w:eastAsia="ja-JP"/>
        </w:rPr>
        <w:t>, C</w:t>
      </w:r>
      <w:r w:rsidR="00805EE1">
        <w:rPr>
          <w:rFonts w:ascii="Arial" w:eastAsia="MS Mincho" w:hAnsi="Arial" w:cs="Arial"/>
          <w:b/>
          <w:bCs/>
          <w:lang w:eastAsia="ja-JP"/>
        </w:rPr>
        <w:t>hina</w:t>
      </w:r>
      <w:r w:rsidR="00A609F0" w:rsidRPr="00435F1E">
        <w:rPr>
          <w:rFonts w:ascii="Arial" w:eastAsia="MS Mincho" w:hAnsi="Arial" w:cs="Arial"/>
          <w:b/>
          <w:bCs/>
          <w:lang w:eastAsia="ja-JP"/>
        </w:rPr>
        <w:t xml:space="preserve">, </w:t>
      </w:r>
      <w:r>
        <w:rPr>
          <w:rFonts w:ascii="Arial" w:eastAsia="MS Mincho" w:hAnsi="Arial" w:cs="Arial"/>
          <w:b/>
          <w:bCs/>
          <w:lang w:eastAsia="ja-JP"/>
        </w:rPr>
        <w:t>October</w:t>
      </w:r>
      <w:r w:rsidR="00A609F0" w:rsidRPr="00435F1E">
        <w:rPr>
          <w:rFonts w:ascii="Arial" w:eastAsia="MS Mincho" w:hAnsi="Arial" w:cs="Arial"/>
          <w:b/>
          <w:bCs/>
          <w:lang w:eastAsia="ja-JP"/>
        </w:rPr>
        <w:t xml:space="preserve"> </w:t>
      </w:r>
      <w:r>
        <w:rPr>
          <w:rFonts w:ascii="Arial" w:eastAsia="MS Mincho" w:hAnsi="Arial" w:cs="Arial"/>
          <w:b/>
          <w:bCs/>
          <w:lang w:eastAsia="ja-JP"/>
        </w:rPr>
        <w:t>14</w:t>
      </w:r>
      <w:r w:rsidR="00A609F0" w:rsidRPr="00435F1E">
        <w:rPr>
          <w:rFonts w:ascii="Arial" w:eastAsia="MS Mincho" w:hAnsi="Arial" w:cs="Arial"/>
          <w:b/>
          <w:bCs/>
          <w:vertAlign w:val="superscript"/>
          <w:lang w:eastAsia="ja-JP"/>
        </w:rPr>
        <w:t>th</w:t>
      </w:r>
      <w:r w:rsidR="00A609F0" w:rsidRPr="00435F1E">
        <w:rPr>
          <w:rFonts w:ascii="Arial" w:eastAsia="MS Mincho" w:hAnsi="Arial" w:cs="Arial"/>
          <w:b/>
          <w:bCs/>
          <w:lang w:eastAsia="ja-JP"/>
        </w:rPr>
        <w:t xml:space="preserve"> – </w:t>
      </w:r>
      <w:r>
        <w:rPr>
          <w:rFonts w:ascii="Arial" w:eastAsia="MS Mincho" w:hAnsi="Arial" w:cs="Arial"/>
          <w:b/>
          <w:bCs/>
          <w:lang w:eastAsia="ja-JP"/>
        </w:rPr>
        <w:t>2</w:t>
      </w:r>
      <w:r w:rsidR="00A609F0" w:rsidRPr="00435F1E">
        <w:rPr>
          <w:rFonts w:ascii="Arial" w:eastAsia="MS Mincho" w:hAnsi="Arial" w:cs="Arial"/>
          <w:b/>
          <w:bCs/>
          <w:lang w:eastAsia="ja-JP"/>
        </w:rPr>
        <w:t>0</w:t>
      </w:r>
      <w:r w:rsidR="00A609F0" w:rsidRPr="00435F1E">
        <w:rPr>
          <w:rFonts w:ascii="Arial" w:eastAsia="MS Mincho" w:hAnsi="Arial" w:cs="Arial"/>
          <w:b/>
          <w:bCs/>
          <w:vertAlign w:val="superscript"/>
          <w:lang w:eastAsia="ja-JP"/>
        </w:rPr>
        <w:t>th</w:t>
      </w:r>
      <w:r w:rsidR="00A609F0" w:rsidRPr="00435F1E">
        <w:rPr>
          <w:rFonts w:ascii="Arial" w:eastAsia="MS Mincho" w:hAnsi="Arial" w:cs="Arial"/>
          <w:b/>
          <w:bCs/>
          <w:lang w:eastAsia="ja-JP"/>
        </w:rPr>
        <w:t>, 2019</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6618A38E" w:rsidR="00E90E49" w:rsidRPr="005906EB" w:rsidRDefault="00E90E49" w:rsidP="00311702">
      <w:pPr>
        <w:pStyle w:val="3GPPHeader"/>
      </w:pPr>
      <w:r w:rsidRPr="005906EB">
        <w:t>Agenda Item:</w:t>
      </w:r>
      <w:r w:rsidRPr="005906EB">
        <w:tab/>
      </w:r>
      <w:r w:rsidR="002E63F4" w:rsidRPr="005906EB">
        <w:t>7.</w:t>
      </w:r>
      <w:r w:rsidR="008A4C42" w:rsidRPr="005906EB">
        <w:t>2</w:t>
      </w:r>
      <w:r w:rsidR="002E63F4" w:rsidRPr="005906EB">
        <w:t>.</w:t>
      </w:r>
      <w:r w:rsidR="00827761" w:rsidRPr="005906EB">
        <w:t>4</w:t>
      </w:r>
      <w:r w:rsidR="008A4C42" w:rsidRPr="005906EB">
        <w:t>.</w:t>
      </w:r>
      <w:r w:rsidR="002D497B" w:rsidRPr="005906EB">
        <w:t>2.1</w:t>
      </w:r>
    </w:p>
    <w:p w14:paraId="2D2AF385" w14:textId="5863517E" w:rsidR="00E90E49" w:rsidRPr="005906EB" w:rsidRDefault="003D3C45" w:rsidP="00F64C2B">
      <w:pPr>
        <w:pStyle w:val="3GPPHeader"/>
      </w:pPr>
      <w:r w:rsidRPr="005906EB">
        <w:t>Source:</w:t>
      </w:r>
      <w:r w:rsidR="00E90E49" w:rsidRPr="005906EB">
        <w:tab/>
      </w:r>
      <w:r w:rsidR="00F12DE8" w:rsidRPr="005906EB">
        <w:t>Apple</w:t>
      </w:r>
    </w:p>
    <w:p w14:paraId="64D45340" w14:textId="3FA704BD" w:rsidR="00531215" w:rsidRPr="005906EB" w:rsidRDefault="003D3C45" w:rsidP="00311702">
      <w:pPr>
        <w:pStyle w:val="3GPPHeader"/>
      </w:pPr>
      <w:r w:rsidRPr="005906EB">
        <w:t>Title:</w:t>
      </w:r>
      <w:r w:rsidR="00E90E49" w:rsidRPr="005906EB">
        <w:tab/>
      </w:r>
      <w:r w:rsidR="00CF7F94" w:rsidRPr="005906EB">
        <w:t>Discussion on Mode 1 Resource Allocation</w:t>
      </w:r>
    </w:p>
    <w:p w14:paraId="4C4FA8C4" w14:textId="77777777" w:rsidR="00E90E49" w:rsidRPr="005906EB" w:rsidRDefault="00D52012" w:rsidP="00396685">
      <w:pPr>
        <w:pStyle w:val="3GPPHeader"/>
      </w:pPr>
      <w:r w:rsidRPr="005906EB">
        <w:t>Document for:</w:t>
      </w:r>
      <w:r w:rsidRPr="005906EB">
        <w:tab/>
        <w:t>Discussion/</w:t>
      </w:r>
      <w:r w:rsidR="00E90E49" w:rsidRPr="005906EB">
        <w:t>Decision</w:t>
      </w:r>
    </w:p>
    <w:p w14:paraId="3E96BFCD" w14:textId="1C835B6A" w:rsidR="00342E02" w:rsidRDefault="00E90E49" w:rsidP="00342E02">
      <w:pPr>
        <w:pStyle w:val="Heading1"/>
      </w:pPr>
      <w:r w:rsidRPr="00A6576F">
        <w:t>Introduction</w:t>
      </w:r>
    </w:p>
    <w:p w14:paraId="2B805E05" w14:textId="76036CFC" w:rsidR="00CF7F94" w:rsidRDefault="00CF7F94" w:rsidP="007F1BA7">
      <w:pPr>
        <w:jc w:val="both"/>
        <w:rPr>
          <w:szCs w:val="20"/>
          <w:lang w:eastAsia="x-none"/>
        </w:rPr>
      </w:pPr>
      <w:r>
        <w:rPr>
          <w:szCs w:val="20"/>
          <w:lang w:eastAsia="x-none"/>
        </w:rPr>
        <w:t xml:space="preserve">The mode 1 resource allocation has been discussed in the past several RAN1 meetings. It was agreed in </w:t>
      </w:r>
      <w:r>
        <w:rPr>
          <w:szCs w:val="20"/>
          <w:lang w:eastAsia="x-none"/>
        </w:rPr>
        <w:fldChar w:fldCharType="begin"/>
      </w:r>
      <w:r>
        <w:rPr>
          <w:szCs w:val="20"/>
          <w:lang w:eastAsia="x-none"/>
        </w:rPr>
        <w:instrText xml:space="preserve"> REF _Ref20471832 \r \h </w:instrText>
      </w:r>
      <w:r>
        <w:rPr>
          <w:szCs w:val="20"/>
          <w:lang w:eastAsia="x-none"/>
        </w:rPr>
      </w:r>
      <w:r>
        <w:rPr>
          <w:szCs w:val="20"/>
          <w:lang w:eastAsia="x-none"/>
        </w:rPr>
        <w:fldChar w:fldCharType="separate"/>
      </w:r>
      <w:r>
        <w:rPr>
          <w:szCs w:val="20"/>
          <w:lang w:eastAsia="x-none"/>
        </w:rPr>
        <w:t>[1]</w:t>
      </w:r>
      <w:r>
        <w:rPr>
          <w:szCs w:val="20"/>
          <w:lang w:eastAsia="x-none"/>
        </w:rPr>
        <w:fldChar w:fldCharType="end"/>
      </w:r>
      <w:r>
        <w:rPr>
          <w:szCs w:val="20"/>
          <w:lang w:eastAsia="x-none"/>
        </w:rPr>
        <w:t xml:space="preserve"> that  </w:t>
      </w:r>
    </w:p>
    <w:p w14:paraId="7C78F5B5" w14:textId="77777777" w:rsidR="00CF7F94" w:rsidRDefault="00CF7F94" w:rsidP="007F1BA7">
      <w:pPr>
        <w:jc w:val="both"/>
        <w:rPr>
          <w:szCs w:val="20"/>
          <w:lang w:eastAsia="x-none"/>
        </w:rPr>
      </w:pPr>
    </w:p>
    <w:p w14:paraId="01C3BA5D" w14:textId="77777777" w:rsidR="00CF7F94" w:rsidRPr="00CF7F94" w:rsidRDefault="00CF7F94" w:rsidP="00CF7F94">
      <w:pPr>
        <w:jc w:val="both"/>
        <w:rPr>
          <w:lang w:eastAsia="x-none"/>
        </w:rPr>
      </w:pPr>
      <w:r w:rsidRPr="00CF7F94">
        <w:rPr>
          <w:highlight w:val="green"/>
          <w:lang w:eastAsia="x-none"/>
        </w:rPr>
        <w:t>Agreements</w:t>
      </w:r>
      <w:r w:rsidRPr="00CF7F94">
        <w:rPr>
          <w:lang w:eastAsia="x-none"/>
        </w:rPr>
        <w:t>:</w:t>
      </w:r>
    </w:p>
    <w:p w14:paraId="4CD14572" w14:textId="77777777" w:rsidR="00CF7F94" w:rsidRPr="00CF7F94" w:rsidRDefault="00CF7F94" w:rsidP="00CF7F94">
      <w:pPr>
        <w:pStyle w:val="ListParagraph"/>
        <w:numPr>
          <w:ilvl w:val="0"/>
          <w:numId w:val="21"/>
        </w:numPr>
        <w:jc w:val="both"/>
        <w:rPr>
          <w:rFonts w:ascii="Times New Roman" w:hAnsi="Times New Roman"/>
          <w:sz w:val="24"/>
          <w:szCs w:val="24"/>
          <w:lang w:eastAsia="ja-JP"/>
        </w:rPr>
      </w:pPr>
      <w:r w:rsidRPr="00CF7F94">
        <w:rPr>
          <w:rFonts w:ascii="Times New Roman" w:hAnsi="Times New Roman"/>
          <w:sz w:val="24"/>
          <w:szCs w:val="24"/>
          <w:lang w:eastAsia="ja-JP"/>
        </w:rPr>
        <w:t xml:space="preserve">For Mode-1, support both same-carrier &amp; cross-carrier scheduling from </w:t>
      </w:r>
      <w:proofErr w:type="spellStart"/>
      <w:r w:rsidRPr="00CF7F94">
        <w:rPr>
          <w:rFonts w:ascii="Times New Roman" w:hAnsi="Times New Roman"/>
          <w:sz w:val="24"/>
          <w:szCs w:val="24"/>
          <w:lang w:eastAsia="ja-JP"/>
        </w:rPr>
        <w:t>gNB</w:t>
      </w:r>
      <w:proofErr w:type="spellEnd"/>
      <w:r w:rsidRPr="00CF7F94">
        <w:rPr>
          <w:rFonts w:ascii="Times New Roman" w:hAnsi="Times New Roman"/>
          <w:sz w:val="24"/>
          <w:szCs w:val="24"/>
          <w:lang w:eastAsia="ja-JP"/>
        </w:rPr>
        <w:t xml:space="preserve"> to NR SL</w:t>
      </w:r>
    </w:p>
    <w:p w14:paraId="31D044DE" w14:textId="6A53BCC3" w:rsidR="00CF7F94" w:rsidRPr="00CF7F94" w:rsidRDefault="00CF7F94" w:rsidP="00CF7F94">
      <w:pPr>
        <w:pStyle w:val="ListParagraph"/>
        <w:numPr>
          <w:ilvl w:val="1"/>
          <w:numId w:val="21"/>
        </w:numPr>
        <w:jc w:val="both"/>
        <w:rPr>
          <w:rFonts w:ascii="Times New Roman" w:hAnsi="Times New Roman"/>
          <w:sz w:val="24"/>
          <w:szCs w:val="24"/>
          <w:lang w:eastAsia="ja-JP"/>
        </w:rPr>
      </w:pPr>
      <w:r w:rsidRPr="00CF7F94">
        <w:rPr>
          <w:rFonts w:ascii="Times New Roman" w:hAnsi="Times New Roman"/>
          <w:sz w:val="24"/>
          <w:szCs w:val="24"/>
          <w:lang w:eastAsia="ja-JP"/>
        </w:rPr>
        <w:t>Whether or not to have the cross-carrier scheduling indicator in the DCI given that there is only one SL carrier for a UE in Rel-16</w:t>
      </w:r>
    </w:p>
    <w:p w14:paraId="1DEEC201" w14:textId="77777777" w:rsidR="00CF7F94" w:rsidRPr="00CF7F94" w:rsidRDefault="00CF7F94" w:rsidP="00CF7F94">
      <w:pPr>
        <w:jc w:val="both"/>
        <w:rPr>
          <w:lang w:eastAsia="x-none"/>
        </w:rPr>
      </w:pPr>
      <w:r w:rsidRPr="00CF7F94">
        <w:rPr>
          <w:highlight w:val="green"/>
          <w:lang w:eastAsia="x-none"/>
        </w:rPr>
        <w:t>Agreements</w:t>
      </w:r>
      <w:r w:rsidRPr="00CF7F94">
        <w:rPr>
          <w:lang w:eastAsia="x-none"/>
        </w:rPr>
        <w:t>:</w:t>
      </w:r>
    </w:p>
    <w:p w14:paraId="6B957388" w14:textId="77777777" w:rsidR="00CF7F94" w:rsidRPr="00CF7F94" w:rsidRDefault="00CF7F94" w:rsidP="00CF7F94">
      <w:pPr>
        <w:pStyle w:val="ListParagraph"/>
        <w:numPr>
          <w:ilvl w:val="0"/>
          <w:numId w:val="22"/>
        </w:numPr>
        <w:jc w:val="both"/>
        <w:rPr>
          <w:rFonts w:ascii="Times New Roman" w:hAnsi="Times New Roman"/>
          <w:sz w:val="24"/>
          <w:szCs w:val="24"/>
          <w:lang w:eastAsia="ja-JP"/>
        </w:rPr>
      </w:pPr>
      <w:r w:rsidRPr="00CF7F94">
        <w:rPr>
          <w:rFonts w:ascii="Times New Roman" w:hAnsi="Times New Roman"/>
          <w:sz w:val="24"/>
          <w:szCs w:val="24"/>
          <w:lang w:eastAsia="ja-JP"/>
        </w:rPr>
        <w:t xml:space="preserve">At least for dynamic grant, the timing and resource for PUCCH used for conveying SL HARQ feedback to the </w:t>
      </w:r>
      <w:proofErr w:type="spellStart"/>
      <w:r w:rsidRPr="00CF7F94">
        <w:rPr>
          <w:rFonts w:ascii="Times New Roman" w:hAnsi="Times New Roman"/>
          <w:sz w:val="24"/>
          <w:szCs w:val="24"/>
          <w:lang w:eastAsia="ja-JP"/>
        </w:rPr>
        <w:t>gNB</w:t>
      </w:r>
      <w:proofErr w:type="spellEnd"/>
      <w:r w:rsidRPr="00CF7F94">
        <w:rPr>
          <w:rFonts w:ascii="Times New Roman" w:hAnsi="Times New Roman"/>
          <w:sz w:val="24"/>
          <w:szCs w:val="24"/>
          <w:lang w:eastAsia="ja-JP"/>
        </w:rPr>
        <w:t xml:space="preserve"> are based on the indication(s) in the corresponding PDCCH</w:t>
      </w:r>
    </w:p>
    <w:p w14:paraId="05E5CF06" w14:textId="749F74B5" w:rsidR="001E7281" w:rsidRPr="00CF7F94" w:rsidRDefault="00CF7F94" w:rsidP="00CF7F94">
      <w:pPr>
        <w:pStyle w:val="ListParagraph"/>
        <w:numPr>
          <w:ilvl w:val="1"/>
          <w:numId w:val="22"/>
        </w:numPr>
        <w:jc w:val="both"/>
        <w:rPr>
          <w:rFonts w:ascii="Times New Roman" w:hAnsi="Times New Roman"/>
          <w:sz w:val="24"/>
          <w:szCs w:val="24"/>
          <w:lang w:eastAsia="ja-JP"/>
        </w:rPr>
      </w:pPr>
      <w:r w:rsidRPr="00CF7F94">
        <w:rPr>
          <w:rFonts w:ascii="Times New Roman" w:hAnsi="Times New Roman"/>
          <w:sz w:val="24"/>
          <w:szCs w:val="24"/>
          <w:lang w:eastAsia="ja-JP"/>
        </w:rPr>
        <w:t>Details FFS</w:t>
      </w:r>
    </w:p>
    <w:p w14:paraId="45A85109" w14:textId="77777777" w:rsidR="00CF7F94" w:rsidRPr="00CF7F94" w:rsidRDefault="00CF7F94" w:rsidP="00CF7F94">
      <w:pPr>
        <w:jc w:val="both"/>
        <w:rPr>
          <w:b/>
          <w:bCs/>
          <w:lang w:eastAsia="x-none"/>
        </w:rPr>
      </w:pPr>
      <w:r w:rsidRPr="00CF7F94">
        <w:rPr>
          <w:highlight w:val="green"/>
          <w:lang w:eastAsia="x-none"/>
        </w:rPr>
        <w:t>Agreements</w:t>
      </w:r>
      <w:r w:rsidRPr="00CF7F94">
        <w:rPr>
          <w:lang w:eastAsia="x-none"/>
        </w:rPr>
        <w:t>:</w:t>
      </w:r>
    </w:p>
    <w:p w14:paraId="6539B024" w14:textId="77777777" w:rsidR="00CF7F94" w:rsidRPr="00CF7F94" w:rsidRDefault="00CF7F94" w:rsidP="00CF7F94">
      <w:pPr>
        <w:pStyle w:val="ListParagraph"/>
        <w:numPr>
          <w:ilvl w:val="0"/>
          <w:numId w:val="21"/>
        </w:numPr>
        <w:jc w:val="both"/>
        <w:rPr>
          <w:rFonts w:ascii="Times New Roman" w:hAnsi="Times New Roman"/>
          <w:bCs/>
          <w:sz w:val="24"/>
          <w:szCs w:val="24"/>
        </w:rPr>
      </w:pPr>
      <w:r w:rsidRPr="00CF7F94">
        <w:rPr>
          <w:rFonts w:ascii="Times New Roman" w:hAnsi="Times New Roman"/>
          <w:bCs/>
          <w:sz w:val="24"/>
          <w:szCs w:val="24"/>
        </w:rPr>
        <w:t>DCI indicates the slot offset between DCI reception and the first sidelink transmission scheduled by DCI.</w:t>
      </w:r>
    </w:p>
    <w:p w14:paraId="7127482A" w14:textId="77777777" w:rsidR="00CF7F94" w:rsidRPr="00CF7F94" w:rsidRDefault="00CF7F94" w:rsidP="00CF7F94">
      <w:pPr>
        <w:pStyle w:val="ListParagraph"/>
        <w:numPr>
          <w:ilvl w:val="1"/>
          <w:numId w:val="21"/>
        </w:numPr>
        <w:jc w:val="both"/>
        <w:rPr>
          <w:rFonts w:ascii="Times New Roman" w:hAnsi="Times New Roman"/>
          <w:bCs/>
          <w:sz w:val="24"/>
          <w:szCs w:val="24"/>
        </w:rPr>
      </w:pPr>
      <w:r w:rsidRPr="00CF7F94">
        <w:rPr>
          <w:rFonts w:ascii="Times New Roman" w:hAnsi="Times New Roman"/>
          <w:bCs/>
          <w:sz w:val="24"/>
          <w:szCs w:val="24"/>
        </w:rPr>
        <w:t>The minimum gap between DCI and the first scheduled sidelink transmission is not smaller than the corresponding UE processing time.</w:t>
      </w:r>
    </w:p>
    <w:p w14:paraId="0B087377" w14:textId="77777777" w:rsidR="00CF7F94" w:rsidRPr="00CF7F94" w:rsidRDefault="00CF7F94" w:rsidP="00CF7F94">
      <w:pPr>
        <w:pStyle w:val="ListParagraph"/>
        <w:numPr>
          <w:ilvl w:val="1"/>
          <w:numId w:val="21"/>
        </w:numPr>
        <w:jc w:val="both"/>
        <w:rPr>
          <w:rFonts w:ascii="Times New Roman" w:hAnsi="Times New Roman"/>
          <w:bCs/>
          <w:sz w:val="24"/>
          <w:szCs w:val="24"/>
        </w:rPr>
      </w:pPr>
      <w:r w:rsidRPr="00CF7F94">
        <w:rPr>
          <w:rFonts w:ascii="Times New Roman" w:hAnsi="Times New Roman"/>
          <w:bCs/>
          <w:sz w:val="24"/>
          <w:szCs w:val="24"/>
        </w:rPr>
        <w:t>Details FFS</w:t>
      </w:r>
    </w:p>
    <w:p w14:paraId="538C3A60" w14:textId="77777777" w:rsidR="00CF7F94" w:rsidRDefault="00CF7F94" w:rsidP="001E7281"/>
    <w:p w14:paraId="6914B841" w14:textId="24EA9926" w:rsidR="00805EE1" w:rsidRPr="001E7281" w:rsidRDefault="00664811" w:rsidP="00CF7F94">
      <w:pPr>
        <w:jc w:val="both"/>
      </w:pPr>
      <w:r>
        <w:t xml:space="preserve">In this contribution, we </w:t>
      </w:r>
      <w:r w:rsidR="00CF7F94">
        <w:t xml:space="preserve">provide our views on </w:t>
      </w:r>
      <w:r w:rsidR="005611C9">
        <w:t>DCI format</w:t>
      </w:r>
      <w:r w:rsidR="00E72914">
        <w:t xml:space="preserve"> details</w:t>
      </w:r>
      <w:r w:rsidR="005611C9">
        <w:t xml:space="preserve">, </w:t>
      </w:r>
      <w:r w:rsidR="00CF7F94">
        <w:t>sidelink HARQ feedback</w:t>
      </w:r>
      <w:r w:rsidR="005611C9">
        <w:t xml:space="preserve"> to </w:t>
      </w:r>
      <w:proofErr w:type="spellStart"/>
      <w:r w:rsidR="005611C9">
        <w:t>gNB</w:t>
      </w:r>
      <w:proofErr w:type="spellEnd"/>
      <w:r w:rsidR="00E72914">
        <w:t>, as well as</w:t>
      </w:r>
      <w:r w:rsidR="00CF7F94">
        <w:t xml:space="preserve"> shared carrier for mode 1 resource allocation</w:t>
      </w:r>
      <w:r>
        <w:t xml:space="preserve">. </w:t>
      </w:r>
    </w:p>
    <w:p w14:paraId="423292B6" w14:textId="52A0CAD7" w:rsidR="00EA5A5B" w:rsidRDefault="00EA5A5B" w:rsidP="006F0C31">
      <w:pPr>
        <w:pStyle w:val="Heading1"/>
      </w:pPr>
      <w:r>
        <w:t>Discussion</w:t>
      </w:r>
    </w:p>
    <w:p w14:paraId="6A1990E6" w14:textId="2E86B167" w:rsidR="00CF7F94" w:rsidRDefault="00CF7F94" w:rsidP="00186C28">
      <w:pPr>
        <w:pStyle w:val="Heading2"/>
        <w:ind w:left="720" w:hanging="720"/>
        <w:rPr>
          <w:sz w:val="28"/>
        </w:rPr>
      </w:pPr>
      <w:r>
        <w:rPr>
          <w:sz w:val="28"/>
        </w:rPr>
        <w:t xml:space="preserve">DCI </w:t>
      </w:r>
      <w:r w:rsidR="00CD73BE">
        <w:rPr>
          <w:sz w:val="28"/>
        </w:rPr>
        <w:t xml:space="preserve">format </w:t>
      </w:r>
    </w:p>
    <w:p w14:paraId="1303A88D" w14:textId="315347F3" w:rsidR="004D2C18" w:rsidRDefault="00766EA6" w:rsidP="004D2C18">
      <w:pPr>
        <w:jc w:val="both"/>
      </w:pPr>
      <w:r>
        <w:t xml:space="preserve">In LTE V2X, an </w:t>
      </w:r>
      <w:proofErr w:type="spellStart"/>
      <w:r>
        <w:t>eNB</w:t>
      </w:r>
      <w:proofErr w:type="spellEnd"/>
      <w:r>
        <w:t xml:space="preserve"> controls a mode 3 UE sidelink transmissions with either dynamic scheduling or SPS. </w:t>
      </w:r>
      <w:r w:rsidR="004D2C18">
        <w:t>A common LTE DCI format (i.e., DCI format 5A) is used for</w:t>
      </w:r>
      <w:r>
        <w:t xml:space="preserve"> scheduling sidelink transmissions, in support of</w:t>
      </w:r>
      <w:r w:rsidR="004D2C18">
        <w:t xml:space="preserve"> both dynamic scheduling and SPS</w:t>
      </w:r>
      <w:r>
        <w:t>.</w:t>
      </w:r>
    </w:p>
    <w:p w14:paraId="78E401C0" w14:textId="77777777" w:rsidR="004D2C18" w:rsidRDefault="004D2C18" w:rsidP="004D2C18">
      <w:pPr>
        <w:jc w:val="both"/>
      </w:pPr>
    </w:p>
    <w:p w14:paraId="0BDA0BF6" w14:textId="73F6BA4F" w:rsidR="004D2C18" w:rsidRDefault="004D2C18" w:rsidP="00173C80">
      <w:pPr>
        <w:jc w:val="both"/>
      </w:pPr>
      <w:r>
        <w:t>It was agreed that dynamic schedul</w:t>
      </w:r>
      <w:r w:rsidR="00E72914">
        <w:t>ing</w:t>
      </w:r>
      <w:r>
        <w:t xml:space="preserve">, type 1 and type 2 configured grants are supported for NR V2X sidelink. </w:t>
      </w:r>
      <w:r w:rsidR="00CD2FE3">
        <w:t>N</w:t>
      </w:r>
      <w:r>
        <w:t>o physical layer signaling is needed for type 1 configured grant.</w:t>
      </w:r>
      <w:r w:rsidR="00CD2FE3">
        <w:t xml:space="preserve"> Considering many information </w:t>
      </w:r>
      <w:r w:rsidR="00173C80">
        <w:t>fields</w:t>
      </w:r>
      <w:r w:rsidR="00CD2FE3">
        <w:t xml:space="preserve"> are common for both dynamic scheduling and type 2 configured grant, a common DCI format </w:t>
      </w:r>
      <w:r w:rsidR="002F7457">
        <w:t>sh</w:t>
      </w:r>
      <w:r w:rsidR="00CD2FE3">
        <w:t>ould be designed for both dynamic scheduling and type 2 configured grant in NR V2X.</w:t>
      </w:r>
      <w:r w:rsidR="00173C80">
        <w:t xml:space="preserve"> </w:t>
      </w:r>
      <w:r w:rsidR="00CD2FE3">
        <w:t xml:space="preserve">This simplifies UE </w:t>
      </w:r>
      <w:r w:rsidR="00173C80">
        <w:t>operations. Hence, we have the following proposal:</w:t>
      </w:r>
    </w:p>
    <w:p w14:paraId="07B7E80A" w14:textId="77777777" w:rsidR="004D2C18" w:rsidRDefault="004D2C18" w:rsidP="004D2C18">
      <w:pPr>
        <w:rPr>
          <w:b/>
          <w:i/>
          <w:u w:val="single"/>
        </w:rPr>
      </w:pPr>
    </w:p>
    <w:p w14:paraId="3B4DC57D" w14:textId="28EF5B3B" w:rsidR="004D2C18" w:rsidRDefault="004D2C18" w:rsidP="004D2C18">
      <w:pPr>
        <w:jc w:val="both"/>
        <w:rPr>
          <w:i/>
        </w:rPr>
      </w:pPr>
      <w:r w:rsidRPr="001C381A">
        <w:rPr>
          <w:b/>
          <w:i/>
          <w:u w:val="single"/>
        </w:rPr>
        <w:t xml:space="preserve">Proposal </w:t>
      </w:r>
      <w:r>
        <w:rPr>
          <w:b/>
          <w:i/>
          <w:u w:val="single"/>
        </w:rPr>
        <w:t>1</w:t>
      </w:r>
      <w:r w:rsidRPr="001C381A">
        <w:rPr>
          <w:b/>
          <w:i/>
          <w:u w:val="single"/>
        </w:rPr>
        <w:t>:</w:t>
      </w:r>
      <w:r w:rsidRPr="001C381A">
        <w:rPr>
          <w:i/>
        </w:rPr>
        <w:t xml:space="preserve"> </w:t>
      </w:r>
      <w:r>
        <w:rPr>
          <w:i/>
        </w:rPr>
        <w:t xml:space="preserve">A common NR DCI format is used to schedule NR sidelink transmissions, </w:t>
      </w:r>
      <w:r w:rsidR="00173C80">
        <w:rPr>
          <w:i/>
        </w:rPr>
        <w:t>in</w:t>
      </w:r>
      <w:r>
        <w:rPr>
          <w:i/>
        </w:rPr>
        <w:t xml:space="preserve"> support of both dynamic scheduling and type 2 configured grant.</w:t>
      </w:r>
    </w:p>
    <w:p w14:paraId="1BA6F17E" w14:textId="77777777" w:rsidR="004D2C18" w:rsidRPr="004D2C18" w:rsidRDefault="004D2C18" w:rsidP="004D2C18">
      <w:pPr>
        <w:jc w:val="both"/>
      </w:pPr>
    </w:p>
    <w:p w14:paraId="4C781F01" w14:textId="6E62A7C4" w:rsidR="00CA7147" w:rsidRDefault="00CA7147" w:rsidP="005521B1">
      <w:pPr>
        <w:jc w:val="both"/>
      </w:pPr>
      <w:r>
        <w:lastRenderedPageBreak/>
        <w:t xml:space="preserve">In LTE V2X, the DCI format 5A is </w:t>
      </w:r>
      <w:r w:rsidR="004D2C18">
        <w:t>zero padded to align its</w:t>
      </w:r>
      <w:r w:rsidR="00173C80">
        <w:t xml:space="preserve"> payload</w:t>
      </w:r>
      <w:r w:rsidR="004D2C18">
        <w:t xml:space="preserve"> </w:t>
      </w:r>
      <w:r>
        <w:t>size to DCI format 0</w:t>
      </w:r>
      <w:r w:rsidR="004D2C18">
        <w:t>. This design is to reduce the blind decoding complexity.</w:t>
      </w:r>
      <w:r w:rsidR="00173C80">
        <w:t xml:space="preserve"> The similar mechanism could be extended to NR V2X. In NR </w:t>
      </w:r>
      <w:proofErr w:type="spellStart"/>
      <w:r w:rsidR="00173C80">
        <w:t>Uu</w:t>
      </w:r>
      <w:proofErr w:type="spellEnd"/>
      <w:r w:rsidR="00173C80">
        <w:t xml:space="preserve"> link, </w:t>
      </w:r>
      <w:r w:rsidR="005521B1">
        <w:t xml:space="preserve">up to 4 DCI payload sizes are </w:t>
      </w:r>
      <w:r w:rsidR="00BD1972">
        <w:t xml:space="preserve">already </w:t>
      </w:r>
      <w:r w:rsidR="005521B1">
        <w:t>allowed for each cell. Hence, it is not preferred to introduce another DCI payload size for sidelink scheduling</w:t>
      </w:r>
      <w:r w:rsidR="00BD1972">
        <w:t xml:space="preserve">, </w:t>
      </w:r>
      <w:r w:rsidR="002F7457">
        <w:t xml:space="preserve">which further increases </w:t>
      </w:r>
      <w:r w:rsidR="00BD1972">
        <w:t xml:space="preserve">UE decoding complexity. </w:t>
      </w:r>
    </w:p>
    <w:p w14:paraId="7819314E" w14:textId="77777777" w:rsidR="00CA7147" w:rsidRPr="00CA7147" w:rsidRDefault="00CA7147" w:rsidP="004D2C18">
      <w:pPr>
        <w:jc w:val="both"/>
      </w:pPr>
    </w:p>
    <w:p w14:paraId="292D3040" w14:textId="0E22E020" w:rsidR="001E7281" w:rsidRDefault="001E7281" w:rsidP="004D2C18">
      <w:pPr>
        <w:jc w:val="both"/>
        <w:rPr>
          <w:i/>
        </w:rPr>
      </w:pPr>
      <w:r w:rsidRPr="001C381A">
        <w:rPr>
          <w:b/>
          <w:i/>
          <w:u w:val="single"/>
        </w:rPr>
        <w:t xml:space="preserve">Proposal </w:t>
      </w:r>
      <w:r w:rsidR="00173C80">
        <w:rPr>
          <w:b/>
          <w:i/>
          <w:u w:val="single"/>
        </w:rPr>
        <w:t>2</w:t>
      </w:r>
      <w:r w:rsidRPr="001C381A">
        <w:rPr>
          <w:b/>
          <w:i/>
          <w:u w:val="single"/>
        </w:rPr>
        <w:t>:</w:t>
      </w:r>
      <w:r w:rsidRPr="001C381A">
        <w:rPr>
          <w:i/>
        </w:rPr>
        <w:t xml:space="preserve"> </w:t>
      </w:r>
      <w:r w:rsidR="00186C28" w:rsidRPr="00186C28">
        <w:rPr>
          <w:i/>
        </w:rPr>
        <w:t>The</w:t>
      </w:r>
      <w:r w:rsidR="003A5FCD">
        <w:rPr>
          <w:i/>
        </w:rPr>
        <w:t xml:space="preserve"> NR</w:t>
      </w:r>
      <w:r w:rsidR="00186C28" w:rsidRPr="00186C28">
        <w:rPr>
          <w:i/>
        </w:rPr>
        <w:t xml:space="preserve"> DCI </w:t>
      </w:r>
      <w:r w:rsidR="00990698">
        <w:rPr>
          <w:i/>
        </w:rPr>
        <w:t xml:space="preserve">format </w:t>
      </w:r>
      <w:r w:rsidR="00186C28" w:rsidRPr="00186C28">
        <w:rPr>
          <w:i/>
        </w:rPr>
        <w:t xml:space="preserve">for </w:t>
      </w:r>
      <w:r w:rsidR="00CF7F94">
        <w:rPr>
          <w:i/>
        </w:rPr>
        <w:t>scheduling NR</w:t>
      </w:r>
      <w:r w:rsidR="003A5FCD">
        <w:rPr>
          <w:i/>
        </w:rPr>
        <w:t xml:space="preserve"> sidelink </w:t>
      </w:r>
      <w:r w:rsidR="00CF7F94">
        <w:rPr>
          <w:i/>
        </w:rPr>
        <w:t xml:space="preserve">should be </w:t>
      </w:r>
      <w:r w:rsidR="00990698">
        <w:rPr>
          <w:i/>
        </w:rPr>
        <w:t xml:space="preserve">payload </w:t>
      </w:r>
      <w:r w:rsidR="00CF7F94">
        <w:rPr>
          <w:i/>
        </w:rPr>
        <w:t>size aligned to an existing NR DCI format.</w:t>
      </w:r>
    </w:p>
    <w:p w14:paraId="52167EC9" w14:textId="5F2E1066" w:rsidR="005521B1" w:rsidRDefault="005521B1" w:rsidP="004D2C18">
      <w:pPr>
        <w:jc w:val="both"/>
      </w:pPr>
    </w:p>
    <w:p w14:paraId="2FED75E8" w14:textId="0227184A" w:rsidR="00990698" w:rsidRDefault="00990698" w:rsidP="00990698">
      <w:pPr>
        <w:jc w:val="both"/>
      </w:pPr>
      <w:r>
        <w:t>In case the NR DCI format for scheduling NR sidelink has the same payload size as an existing NR DCI format, th</w:t>
      </w:r>
      <w:r w:rsidR="002F7457">
        <w:t>is new</w:t>
      </w:r>
      <w:r>
        <w:t xml:space="preserve"> NR DCI format </w:t>
      </w:r>
      <w:r w:rsidR="002F7457">
        <w:t>sh</w:t>
      </w:r>
      <w:r>
        <w:t>ould be distinguished by using a sidelink RNTI</w:t>
      </w:r>
      <w:r w:rsidR="00E72914">
        <w:t xml:space="preserve"> to</w:t>
      </w:r>
      <w:r>
        <w:t xml:space="preserve"> scrambl</w:t>
      </w:r>
      <w:r w:rsidR="00E72914">
        <w:t>e</w:t>
      </w:r>
      <w:r>
        <w:t xml:space="preserve"> the </w:t>
      </w:r>
      <w:r w:rsidR="00E72914">
        <w:t xml:space="preserve">CRC bits of </w:t>
      </w:r>
      <w:r>
        <w:t>NR DCI.</w:t>
      </w:r>
    </w:p>
    <w:p w14:paraId="47D1EEE0" w14:textId="77777777" w:rsidR="00990698" w:rsidRDefault="00990698" w:rsidP="00990698">
      <w:pPr>
        <w:jc w:val="both"/>
      </w:pPr>
    </w:p>
    <w:p w14:paraId="3A726CDC" w14:textId="3F481456" w:rsidR="00990698" w:rsidRDefault="00990698" w:rsidP="00990698">
      <w:pPr>
        <w:jc w:val="both"/>
      </w:pPr>
      <w:r>
        <w:t xml:space="preserve">Furthermore, with a common NR DCI format for </w:t>
      </w:r>
      <w:r w:rsidR="00E72914">
        <w:t xml:space="preserve">scheduling </w:t>
      </w:r>
      <w:r>
        <w:t xml:space="preserve">NR sidelink, a mechanism is needed for UE to distinguish between dynamic grant and type 2 configured grant. </w:t>
      </w:r>
      <w:r w:rsidR="002F7457">
        <w:t xml:space="preserve">Hence, we propose </w:t>
      </w:r>
      <w:r>
        <w:t>to introduce two sidelink RNTIs: one for dynamic grant and the other for type 2 configured grant.</w:t>
      </w:r>
      <w:r w:rsidR="00E72914">
        <w:t xml:space="preserve"> </w:t>
      </w:r>
      <w:r>
        <w:t xml:space="preserve"> </w:t>
      </w:r>
    </w:p>
    <w:p w14:paraId="52C714E1" w14:textId="77777777" w:rsidR="00990698" w:rsidRDefault="00990698" w:rsidP="00990698">
      <w:pPr>
        <w:jc w:val="both"/>
      </w:pPr>
    </w:p>
    <w:p w14:paraId="1E7AADCD" w14:textId="6A8E1D5A" w:rsidR="00BD1972" w:rsidRDefault="00990698" w:rsidP="00990698">
      <w:pPr>
        <w:jc w:val="both"/>
        <w:rPr>
          <w:i/>
        </w:rPr>
      </w:pPr>
      <w:r w:rsidRPr="001C381A">
        <w:rPr>
          <w:b/>
          <w:i/>
          <w:u w:val="single"/>
        </w:rPr>
        <w:t xml:space="preserve">Proposal </w:t>
      </w:r>
      <w:r w:rsidR="00BD1972">
        <w:rPr>
          <w:b/>
          <w:i/>
          <w:u w:val="single"/>
        </w:rPr>
        <w:t>3</w:t>
      </w:r>
      <w:r w:rsidRPr="001C381A">
        <w:rPr>
          <w:b/>
          <w:i/>
          <w:u w:val="single"/>
        </w:rPr>
        <w:t>:</w:t>
      </w:r>
      <w:r w:rsidRPr="001C381A">
        <w:rPr>
          <w:i/>
        </w:rPr>
        <w:t xml:space="preserve"> </w:t>
      </w:r>
      <w:r w:rsidRPr="00186C28">
        <w:rPr>
          <w:i/>
        </w:rPr>
        <w:t>T</w:t>
      </w:r>
      <w:r>
        <w:rPr>
          <w:i/>
        </w:rPr>
        <w:t>wo different</w:t>
      </w:r>
      <w:r w:rsidR="00BD1972">
        <w:rPr>
          <w:i/>
        </w:rPr>
        <w:t xml:space="preserve"> sidelink</w:t>
      </w:r>
      <w:r>
        <w:rPr>
          <w:i/>
        </w:rPr>
        <w:t xml:space="preserve"> RNTIs are </w:t>
      </w:r>
      <w:r w:rsidR="00BD1972">
        <w:rPr>
          <w:i/>
        </w:rPr>
        <w:t xml:space="preserve">introduced for NR DCI scheduling </w:t>
      </w:r>
      <w:r w:rsidR="00E72914">
        <w:rPr>
          <w:i/>
        </w:rPr>
        <w:t xml:space="preserve">NR </w:t>
      </w:r>
      <w:r w:rsidR="00BD1972">
        <w:rPr>
          <w:i/>
        </w:rPr>
        <w:t>sidelink: one for dynamic grant and the other for type 2 configured grant. Sidelink RNTI is used to scramble the CRC bits of NR DCI.</w:t>
      </w:r>
    </w:p>
    <w:p w14:paraId="62A4E84B" w14:textId="77777777" w:rsidR="00CD73BE" w:rsidRDefault="00CD73BE" w:rsidP="001E7281"/>
    <w:p w14:paraId="792F538C" w14:textId="44F033CD" w:rsidR="00E92732" w:rsidRDefault="00CD73BE" w:rsidP="00CD73BE">
      <w:pPr>
        <w:jc w:val="both"/>
      </w:pPr>
      <w:r>
        <w:t xml:space="preserve">It was agreed </w:t>
      </w:r>
      <w:r>
        <w:fldChar w:fldCharType="begin"/>
      </w:r>
      <w:r>
        <w:instrText xml:space="preserve"> REF _Ref20471832 \r \h </w:instrText>
      </w:r>
      <w:r>
        <w:fldChar w:fldCharType="separate"/>
      </w:r>
      <w:r>
        <w:t>[1]</w:t>
      </w:r>
      <w:r>
        <w:fldChar w:fldCharType="end"/>
      </w:r>
      <w:r>
        <w:t xml:space="preserve"> that NR DCI indicates the slot offset between DCI reception and the first sidelink transmission scheduled by the DCI.</w:t>
      </w:r>
      <w:r w:rsidR="005556E9">
        <w:t xml:space="preserve"> The details are FFS. </w:t>
      </w:r>
      <w:r w:rsidR="00ED1E9E">
        <w:t xml:space="preserve"> </w:t>
      </w:r>
    </w:p>
    <w:p w14:paraId="4E001AF6" w14:textId="77777777" w:rsidR="005556E9" w:rsidRDefault="005556E9" w:rsidP="00CD73BE">
      <w:pPr>
        <w:jc w:val="both"/>
      </w:pPr>
    </w:p>
    <w:p w14:paraId="494ABC1C" w14:textId="0CFA6B5F" w:rsidR="002F7457" w:rsidRDefault="00ED1E9E" w:rsidP="002F7457">
      <w:pPr>
        <w:jc w:val="both"/>
      </w:pPr>
      <w:r>
        <w:t xml:space="preserve">In NR </w:t>
      </w:r>
      <w:r w:rsidR="00E92732">
        <w:t xml:space="preserve">uplink transmission, </w:t>
      </w:r>
      <w:r>
        <w:t xml:space="preserve">the slot </w:t>
      </w:r>
      <w:r w:rsidR="00E92732">
        <w:t xml:space="preserve">where a UE should transmit PUSCH is set as </w:t>
      </w:r>
      <m:oMath>
        <m:d>
          <m:dPr>
            <m:begChr m:val="⌊"/>
            <m:endChr m:val="⌋"/>
            <m:ctrlPr>
              <w:rPr>
                <w:rFonts w:ascii="Cambria Math" w:hAnsi="Cambria Math"/>
                <w:i/>
                <w:sz w:val="21"/>
                <w:szCs w:val="21"/>
              </w:rPr>
            </m:ctrlPr>
          </m:dPr>
          <m:e>
            <m:r>
              <w:rPr>
                <w:rFonts w:ascii="Cambria Math" w:hAnsi="Cambria Math"/>
                <w:sz w:val="21"/>
                <w:szCs w:val="21"/>
              </w:rPr>
              <m:t>n∙</m:t>
            </m:r>
            <m:f>
              <m:fPr>
                <m:ctrlPr>
                  <w:rPr>
                    <w:rFonts w:ascii="Cambria Math" w:hAnsi="Cambria Math"/>
                    <w:i/>
                    <w:sz w:val="21"/>
                    <w:szCs w:val="21"/>
                  </w:rPr>
                </m:ctrlPr>
              </m:fPr>
              <m:num>
                <m:sSup>
                  <m:sSupPr>
                    <m:ctrlPr>
                      <w:rPr>
                        <w:rFonts w:ascii="Cambria Math" w:hAnsi="Cambria Math"/>
                        <w:i/>
                        <w:sz w:val="21"/>
                        <w:szCs w:val="21"/>
                      </w:rPr>
                    </m:ctrlPr>
                  </m:sSupPr>
                  <m:e>
                    <m:r>
                      <w:rPr>
                        <w:rFonts w:ascii="Cambria Math" w:hAnsi="Cambria Math"/>
                        <w:sz w:val="21"/>
                        <w:szCs w:val="21"/>
                      </w:rPr>
                      <m:t>2</m:t>
                    </m:r>
                  </m:e>
                  <m:sup>
                    <m:sSub>
                      <m:sSubPr>
                        <m:ctrlPr>
                          <w:rPr>
                            <w:rFonts w:ascii="Cambria Math" w:hAnsi="Cambria Math"/>
                            <w:i/>
                            <w:sz w:val="21"/>
                            <w:szCs w:val="21"/>
                          </w:rPr>
                        </m:ctrlPr>
                      </m:sSubPr>
                      <m:e>
                        <m:r>
                          <w:rPr>
                            <w:rFonts w:ascii="Cambria Math" w:hAnsi="Cambria Math"/>
                            <w:sz w:val="21"/>
                            <w:szCs w:val="21"/>
                          </w:rPr>
                          <m:t>μ</m:t>
                        </m:r>
                      </m:e>
                      <m:sub>
                        <m:r>
                          <w:rPr>
                            <w:rFonts w:ascii="Cambria Math" w:hAnsi="Cambria Math"/>
                            <w:sz w:val="21"/>
                            <w:szCs w:val="21"/>
                          </w:rPr>
                          <m:t>PUSCH</m:t>
                        </m:r>
                      </m:sub>
                    </m:sSub>
                  </m:sup>
                </m:sSup>
              </m:num>
              <m:den>
                <m:sSup>
                  <m:sSupPr>
                    <m:ctrlPr>
                      <w:rPr>
                        <w:rFonts w:ascii="Cambria Math" w:hAnsi="Cambria Math"/>
                        <w:i/>
                        <w:sz w:val="21"/>
                        <w:szCs w:val="21"/>
                      </w:rPr>
                    </m:ctrlPr>
                  </m:sSupPr>
                  <m:e>
                    <m:r>
                      <w:rPr>
                        <w:rFonts w:ascii="Cambria Math" w:hAnsi="Cambria Math"/>
                        <w:sz w:val="21"/>
                        <w:szCs w:val="21"/>
                      </w:rPr>
                      <m:t>2</m:t>
                    </m:r>
                  </m:e>
                  <m:sup>
                    <m:sSub>
                      <m:sSubPr>
                        <m:ctrlPr>
                          <w:rPr>
                            <w:rFonts w:ascii="Cambria Math" w:hAnsi="Cambria Math"/>
                            <w:i/>
                            <w:sz w:val="21"/>
                            <w:szCs w:val="21"/>
                          </w:rPr>
                        </m:ctrlPr>
                      </m:sSubPr>
                      <m:e>
                        <m:r>
                          <w:rPr>
                            <w:rFonts w:ascii="Cambria Math" w:hAnsi="Cambria Math"/>
                            <w:sz w:val="21"/>
                            <w:szCs w:val="21"/>
                          </w:rPr>
                          <m:t>μ</m:t>
                        </m:r>
                      </m:e>
                      <m:sub>
                        <m:r>
                          <w:rPr>
                            <w:rFonts w:ascii="Cambria Math" w:hAnsi="Cambria Math"/>
                            <w:sz w:val="21"/>
                            <w:szCs w:val="21"/>
                          </w:rPr>
                          <m:t>PDCCH</m:t>
                        </m:r>
                      </m:sub>
                    </m:sSub>
                  </m:sup>
                </m:sSup>
              </m:den>
            </m:f>
          </m:e>
        </m:d>
        <m:r>
          <w:rPr>
            <w:rFonts w:ascii="Cambria Math" w:hAnsi="Cambria Math"/>
            <w:sz w:val="21"/>
            <w:szCs w:val="21"/>
          </w:rPr>
          <m:t>+K</m:t>
        </m:r>
      </m:oMath>
      <w:r w:rsidR="00E92732">
        <w:t xml:space="preserve">, where </w:t>
      </w:r>
      <m:oMath>
        <m:r>
          <w:rPr>
            <w:rFonts w:ascii="Cambria Math" w:hAnsi="Cambria Math"/>
          </w:rPr>
          <m:t>n</m:t>
        </m:r>
      </m:oMath>
      <w:r w:rsidR="00E92732">
        <w:t xml:space="preserve"> is the slot with the scheduling DCI, and </w:t>
      </w:r>
      <m:oMath>
        <m:r>
          <w:rPr>
            <w:rFonts w:ascii="Cambria Math" w:hAnsi="Cambria Math"/>
          </w:rPr>
          <m:t>K</m:t>
        </m:r>
      </m:oMath>
      <w:r w:rsidR="00E92732">
        <w:t xml:space="preserve"> is based on the numerology of PUSCH. A table with a list of </w:t>
      </w:r>
      <m:oMath>
        <m:r>
          <w:rPr>
            <w:rFonts w:ascii="Cambria Math" w:hAnsi="Cambria Math"/>
          </w:rPr>
          <m:t>K</m:t>
        </m:r>
      </m:oMath>
      <w:r w:rsidR="00E92732">
        <w:t xml:space="preserve"> values is defined, and an entry</w:t>
      </w:r>
      <w:r w:rsidR="00BF1B3C">
        <w:t xml:space="preserve"> index</w:t>
      </w:r>
      <w:r w:rsidR="00E92732">
        <w:t xml:space="preserve"> to the table is </w:t>
      </w:r>
      <w:r w:rsidR="005556E9">
        <w:t>indicated</w:t>
      </w:r>
      <w:r w:rsidR="00E92732">
        <w:t xml:space="preserve"> in the </w:t>
      </w:r>
      <w:r w:rsidR="005556E9">
        <w:t xml:space="preserve">scheduling </w:t>
      </w:r>
      <w:r w:rsidR="00E92732">
        <w:t xml:space="preserve">DCI. </w:t>
      </w:r>
    </w:p>
    <w:p w14:paraId="3D94957F" w14:textId="2FFE4931" w:rsidR="00E92732" w:rsidRDefault="00E92732" w:rsidP="002F7457">
      <w:pPr>
        <w:jc w:val="both"/>
      </w:pPr>
      <w:r>
        <w:t xml:space="preserve"> </w:t>
      </w:r>
    </w:p>
    <w:p w14:paraId="771900D4" w14:textId="67A0CEF5" w:rsidR="005556E9" w:rsidRDefault="00E92732" w:rsidP="002F7457">
      <w:pPr>
        <w:jc w:val="both"/>
      </w:pPr>
      <w:r>
        <w:t>In our view, the similar scheme could be applied to NR sidelink transmissions</w:t>
      </w:r>
      <w:r w:rsidR="005556E9">
        <w:t xml:space="preserve"> scheduled by network</w:t>
      </w:r>
      <w:r>
        <w:t>. Specifically, the slot where a transmitter UE should transmit PS</w:t>
      </w:r>
      <w:r w:rsidR="002F7457">
        <w:t>C</w:t>
      </w:r>
      <w:r>
        <w:t>CH</w:t>
      </w:r>
      <w:r w:rsidR="005556E9">
        <w:t>/</w:t>
      </w:r>
      <w:r>
        <w:t xml:space="preserve">PSSCH is set as </w:t>
      </w:r>
      <m:oMath>
        <m:d>
          <m:dPr>
            <m:begChr m:val="⌊"/>
            <m:endChr m:val="⌋"/>
            <m:ctrlPr>
              <w:rPr>
                <w:rFonts w:ascii="Cambria Math" w:hAnsi="Cambria Math"/>
                <w:i/>
                <w:sz w:val="21"/>
                <w:szCs w:val="21"/>
              </w:rPr>
            </m:ctrlPr>
          </m:dPr>
          <m:e>
            <m:r>
              <w:rPr>
                <w:rFonts w:ascii="Cambria Math" w:hAnsi="Cambria Math"/>
                <w:sz w:val="21"/>
                <w:szCs w:val="21"/>
              </w:rPr>
              <m:t>n∙</m:t>
            </m:r>
            <m:f>
              <m:fPr>
                <m:ctrlPr>
                  <w:rPr>
                    <w:rFonts w:ascii="Cambria Math" w:hAnsi="Cambria Math"/>
                    <w:i/>
                    <w:sz w:val="21"/>
                    <w:szCs w:val="21"/>
                  </w:rPr>
                </m:ctrlPr>
              </m:fPr>
              <m:num>
                <m:sSup>
                  <m:sSupPr>
                    <m:ctrlPr>
                      <w:rPr>
                        <w:rFonts w:ascii="Cambria Math" w:hAnsi="Cambria Math"/>
                        <w:i/>
                        <w:sz w:val="21"/>
                        <w:szCs w:val="21"/>
                      </w:rPr>
                    </m:ctrlPr>
                  </m:sSupPr>
                  <m:e>
                    <m:r>
                      <w:rPr>
                        <w:rFonts w:ascii="Cambria Math" w:hAnsi="Cambria Math"/>
                        <w:sz w:val="21"/>
                        <w:szCs w:val="21"/>
                      </w:rPr>
                      <m:t>2</m:t>
                    </m:r>
                  </m:e>
                  <m:sup>
                    <m:sSub>
                      <m:sSubPr>
                        <m:ctrlPr>
                          <w:rPr>
                            <w:rFonts w:ascii="Cambria Math" w:hAnsi="Cambria Math"/>
                            <w:i/>
                            <w:sz w:val="21"/>
                            <w:szCs w:val="21"/>
                          </w:rPr>
                        </m:ctrlPr>
                      </m:sSubPr>
                      <m:e>
                        <m:r>
                          <w:rPr>
                            <w:rFonts w:ascii="Cambria Math" w:hAnsi="Cambria Math"/>
                            <w:sz w:val="21"/>
                            <w:szCs w:val="21"/>
                          </w:rPr>
                          <m:t>μ</m:t>
                        </m:r>
                      </m:e>
                      <m:sub>
                        <m:r>
                          <w:rPr>
                            <w:rFonts w:ascii="Cambria Math" w:hAnsi="Cambria Math"/>
                            <w:sz w:val="21"/>
                            <w:szCs w:val="21"/>
                          </w:rPr>
                          <m:t>PSSCH</m:t>
                        </m:r>
                      </m:sub>
                    </m:sSub>
                  </m:sup>
                </m:sSup>
              </m:num>
              <m:den>
                <m:sSup>
                  <m:sSupPr>
                    <m:ctrlPr>
                      <w:rPr>
                        <w:rFonts w:ascii="Cambria Math" w:hAnsi="Cambria Math"/>
                        <w:i/>
                        <w:sz w:val="21"/>
                        <w:szCs w:val="21"/>
                      </w:rPr>
                    </m:ctrlPr>
                  </m:sSupPr>
                  <m:e>
                    <m:r>
                      <w:rPr>
                        <w:rFonts w:ascii="Cambria Math" w:hAnsi="Cambria Math"/>
                        <w:sz w:val="21"/>
                        <w:szCs w:val="21"/>
                      </w:rPr>
                      <m:t>2</m:t>
                    </m:r>
                  </m:e>
                  <m:sup>
                    <m:sSub>
                      <m:sSubPr>
                        <m:ctrlPr>
                          <w:rPr>
                            <w:rFonts w:ascii="Cambria Math" w:hAnsi="Cambria Math"/>
                            <w:i/>
                            <w:sz w:val="21"/>
                            <w:szCs w:val="21"/>
                          </w:rPr>
                        </m:ctrlPr>
                      </m:sSubPr>
                      <m:e>
                        <m:r>
                          <w:rPr>
                            <w:rFonts w:ascii="Cambria Math" w:hAnsi="Cambria Math"/>
                            <w:sz w:val="21"/>
                            <w:szCs w:val="21"/>
                          </w:rPr>
                          <m:t>μ</m:t>
                        </m:r>
                      </m:e>
                      <m:sub>
                        <m:r>
                          <w:rPr>
                            <w:rFonts w:ascii="Cambria Math" w:hAnsi="Cambria Math"/>
                            <w:sz w:val="21"/>
                            <w:szCs w:val="21"/>
                          </w:rPr>
                          <m:t>PDCCH</m:t>
                        </m:r>
                      </m:sub>
                    </m:sSub>
                  </m:sup>
                </m:sSup>
              </m:den>
            </m:f>
          </m:e>
        </m:d>
        <m:r>
          <w:rPr>
            <w:rFonts w:ascii="Cambria Math" w:hAnsi="Cambria Math"/>
            <w:sz w:val="21"/>
            <w:szCs w:val="21"/>
          </w:rPr>
          <m:t>+K</m:t>
        </m:r>
      </m:oMath>
      <w:r>
        <w:t xml:space="preserve">, where </w:t>
      </w:r>
      <m:oMath>
        <m:r>
          <w:rPr>
            <w:rFonts w:ascii="Cambria Math" w:hAnsi="Cambria Math"/>
          </w:rPr>
          <m:t>n</m:t>
        </m:r>
      </m:oMath>
      <w:r>
        <w:t xml:space="preserve"> is the slot with the scheduling DCI, and </w:t>
      </w:r>
      <m:oMath>
        <m:r>
          <w:rPr>
            <w:rFonts w:ascii="Cambria Math" w:hAnsi="Cambria Math"/>
          </w:rPr>
          <m:t>K</m:t>
        </m:r>
      </m:oMath>
      <w:r>
        <w:t xml:space="preserve"> is based on the numerology of PSSCH.</w:t>
      </w:r>
      <w:r w:rsidR="005556E9">
        <w:t xml:space="preserve"> A table of a list of </w:t>
      </w:r>
      <m:oMath>
        <m:r>
          <w:rPr>
            <w:rFonts w:ascii="Cambria Math" w:hAnsi="Cambria Math"/>
          </w:rPr>
          <m:t>K</m:t>
        </m:r>
      </m:oMath>
      <w:r w:rsidR="005556E9">
        <w:t xml:space="preserve"> values is defined, and a</w:t>
      </w:r>
      <w:r w:rsidR="002F7457">
        <w:t xml:space="preserve"> table</w:t>
      </w:r>
      <w:r w:rsidR="005556E9">
        <w:t xml:space="preserve"> entry </w:t>
      </w:r>
      <w:r w:rsidR="002F7457">
        <w:t xml:space="preserve">index </w:t>
      </w:r>
      <w:r w:rsidR="005556E9">
        <w:t xml:space="preserve">is indicated in the scheduling DCI.  </w:t>
      </w:r>
    </w:p>
    <w:p w14:paraId="5FC6089C" w14:textId="2A901C80" w:rsidR="00E92732" w:rsidRDefault="00E92732" w:rsidP="00CD73BE">
      <w:pPr>
        <w:jc w:val="both"/>
      </w:pPr>
    </w:p>
    <w:p w14:paraId="10B11045" w14:textId="31C53A3A" w:rsidR="004939E9" w:rsidRPr="005556E9" w:rsidRDefault="004939E9" w:rsidP="004939E9">
      <w:pPr>
        <w:jc w:val="both"/>
      </w:pPr>
      <w:r w:rsidRPr="001C381A">
        <w:rPr>
          <w:b/>
          <w:i/>
          <w:u w:val="single"/>
        </w:rPr>
        <w:t xml:space="preserve">Proposal </w:t>
      </w:r>
      <w:r>
        <w:rPr>
          <w:b/>
          <w:i/>
          <w:u w:val="single"/>
        </w:rPr>
        <w:t>4</w:t>
      </w:r>
      <w:r w:rsidRPr="001C381A">
        <w:rPr>
          <w:b/>
          <w:i/>
          <w:u w:val="single"/>
        </w:rPr>
        <w:t>:</w:t>
      </w:r>
      <w:r w:rsidRPr="001C381A">
        <w:rPr>
          <w:i/>
        </w:rPr>
        <w:t xml:space="preserve"> </w:t>
      </w:r>
      <w:r w:rsidRPr="00186C28">
        <w:rPr>
          <w:i/>
        </w:rPr>
        <w:t>T</w:t>
      </w:r>
      <w:r>
        <w:rPr>
          <w:i/>
        </w:rPr>
        <w:t>he determination of time slot of the first PSSCH transmission scheduled by DCI follows the similar scheme as that for PUSCH transmission.</w:t>
      </w:r>
    </w:p>
    <w:p w14:paraId="0BA94EDE" w14:textId="77777777" w:rsidR="00CD73BE" w:rsidRPr="00CD73BE" w:rsidRDefault="00CD73BE" w:rsidP="00CD73BE"/>
    <w:p w14:paraId="157B61EA" w14:textId="4DA7C751" w:rsidR="00CD73BE" w:rsidRDefault="00CD73BE" w:rsidP="00CD73BE">
      <w:pPr>
        <w:pStyle w:val="Heading2"/>
        <w:ind w:left="720" w:hanging="720"/>
        <w:rPr>
          <w:sz w:val="28"/>
        </w:rPr>
      </w:pPr>
      <w:r>
        <w:rPr>
          <w:sz w:val="28"/>
        </w:rPr>
        <w:t xml:space="preserve">Sidelink HARQ feedback to </w:t>
      </w:r>
      <w:proofErr w:type="spellStart"/>
      <w:r>
        <w:rPr>
          <w:sz w:val="28"/>
        </w:rPr>
        <w:t>gNB</w:t>
      </w:r>
      <w:proofErr w:type="spellEnd"/>
    </w:p>
    <w:p w14:paraId="3967FC9D" w14:textId="77777777" w:rsidR="00CD73BE" w:rsidRDefault="00CD73BE" w:rsidP="00CD73BE">
      <w:pPr>
        <w:jc w:val="both"/>
      </w:pPr>
      <w:r>
        <w:t xml:space="preserve">It was agreed </w:t>
      </w:r>
      <w:r>
        <w:fldChar w:fldCharType="begin"/>
      </w:r>
      <w:r>
        <w:instrText xml:space="preserve"> REF _Ref20574639 \r \h </w:instrText>
      </w:r>
      <w:r>
        <w:fldChar w:fldCharType="separate"/>
      </w:r>
      <w:r>
        <w:t>[2]</w:t>
      </w:r>
      <w:r>
        <w:fldChar w:fldCharType="end"/>
      </w:r>
      <w:r>
        <w:t xml:space="preserve"> that sidelink HARQ ACK/NACK should be reported from transmitter UE to </w:t>
      </w:r>
      <w:proofErr w:type="spellStart"/>
      <w:r>
        <w:t>gNB</w:t>
      </w:r>
      <w:proofErr w:type="spellEnd"/>
      <w:r>
        <w:t xml:space="preserve">. The sidelink HARQ transmission from UE to </w:t>
      </w:r>
      <w:proofErr w:type="spellStart"/>
      <w:r>
        <w:t>gNB</w:t>
      </w:r>
      <w:proofErr w:type="spellEnd"/>
      <w:r>
        <w:t xml:space="preserve"> is via PUCCH, whose timing and resource should be indicated in the corresponding PDCCH </w:t>
      </w:r>
      <w:r>
        <w:fldChar w:fldCharType="begin"/>
      </w:r>
      <w:r>
        <w:instrText xml:space="preserve"> REF _Ref20471832 \r \h </w:instrText>
      </w:r>
      <w:r>
        <w:fldChar w:fldCharType="separate"/>
      </w:r>
      <w:r>
        <w:t>[1]</w:t>
      </w:r>
      <w:r>
        <w:fldChar w:fldCharType="end"/>
      </w:r>
      <w:r>
        <w:t xml:space="preserve">. </w:t>
      </w:r>
    </w:p>
    <w:p w14:paraId="6552EC1F" w14:textId="77777777" w:rsidR="00CD73BE" w:rsidRDefault="00CD73BE" w:rsidP="00CD73BE">
      <w:pPr>
        <w:jc w:val="both"/>
      </w:pPr>
    </w:p>
    <w:p w14:paraId="39396057" w14:textId="20918102" w:rsidR="00CD73BE" w:rsidRDefault="00CD73BE" w:rsidP="00CD73BE">
      <w:pPr>
        <w:jc w:val="both"/>
      </w:pPr>
      <w:r>
        <w:t xml:space="preserve">In NR DL, the time gap between PDSCH transmission and HARQ feedback is indicated in the corresponding PDCCH. In fallback DCI format, a 3-bit field is directly interpreted to a </w:t>
      </w:r>
      <w:r w:rsidR="00BF1B3C">
        <w:t xml:space="preserve">slot </w:t>
      </w:r>
      <w:r>
        <w:t>value for the time gap. In non-fallback DCI format, a field is interpreted to an entry</w:t>
      </w:r>
      <w:r w:rsidR="00BF1B3C">
        <w:t xml:space="preserve"> index</w:t>
      </w:r>
      <w:r>
        <w:t xml:space="preserve"> of a configured time gap table. This bit field size is variable, depending on the configured table.</w:t>
      </w:r>
    </w:p>
    <w:p w14:paraId="6931C5D7" w14:textId="77777777" w:rsidR="00CD73BE" w:rsidRDefault="00CD73BE" w:rsidP="00CD73BE">
      <w:pPr>
        <w:jc w:val="both"/>
      </w:pPr>
    </w:p>
    <w:p w14:paraId="357FB9F3" w14:textId="77777777" w:rsidR="00CD73BE" w:rsidRDefault="00CD73BE" w:rsidP="00CD73BE">
      <w:pPr>
        <w:jc w:val="both"/>
      </w:pPr>
      <w:r>
        <w:t xml:space="preserve">In NR V2X, the time gap between the last PSSCH transmission (in case of blind retransmission) and PUCCH transmission can be indicated in the corresponding PDCCH. This time gap can be in the unit of slots. A transmitter UE can only report sidelink HARQ ACK/NACK to </w:t>
      </w:r>
      <w:proofErr w:type="spellStart"/>
      <w:r>
        <w:t>gNB</w:t>
      </w:r>
      <w:proofErr w:type="spellEnd"/>
      <w:r>
        <w:t xml:space="preserve"> after it receives the </w:t>
      </w:r>
      <w:r>
        <w:lastRenderedPageBreak/>
        <w:t xml:space="preserve">PSFCH transmissions from receiver UE(s). Hence, the time gap between the last PSSCH transmission and PUCCH transmission also depends on the configured PSFCH periodicity, as well as the transmitter UE’s processing time. </w:t>
      </w:r>
    </w:p>
    <w:p w14:paraId="000D67E3" w14:textId="77777777" w:rsidR="00CD73BE" w:rsidRDefault="00CD73BE" w:rsidP="00CD73BE">
      <w:pPr>
        <w:jc w:val="both"/>
      </w:pPr>
    </w:p>
    <w:p w14:paraId="1D572351" w14:textId="46A30419" w:rsidR="00CD73BE" w:rsidRDefault="00CD73BE" w:rsidP="00CD73BE">
      <w:pPr>
        <w:jc w:val="both"/>
      </w:pPr>
      <w:r>
        <w:t xml:space="preserve">It is preferred to configure a time gap table between the last PSSCH transmission and PUCCH transmission, and </w:t>
      </w:r>
      <w:r w:rsidR="00BF1B3C">
        <w:t>an</w:t>
      </w:r>
      <w:r>
        <w:t xml:space="preserve"> entry index of this time gap table is contained in the corresponding PDCCH.  The configured time gap table takes into account of the PSFCH periodicity and UE capability.</w:t>
      </w:r>
    </w:p>
    <w:p w14:paraId="32F2A894" w14:textId="77777777" w:rsidR="00CD73BE" w:rsidRPr="00C375D2" w:rsidRDefault="00CD73BE" w:rsidP="00CD73BE"/>
    <w:p w14:paraId="4EC919EA" w14:textId="0DC2536D" w:rsidR="004939E9" w:rsidRDefault="004939E9" w:rsidP="004939E9">
      <w:pPr>
        <w:jc w:val="both"/>
        <w:rPr>
          <w:i/>
        </w:rPr>
      </w:pPr>
      <w:r w:rsidRPr="001C381A">
        <w:rPr>
          <w:b/>
          <w:i/>
          <w:u w:val="single"/>
        </w:rPr>
        <w:t xml:space="preserve">Proposal </w:t>
      </w:r>
      <w:r>
        <w:rPr>
          <w:b/>
          <w:i/>
          <w:u w:val="single"/>
        </w:rPr>
        <w:t>5</w:t>
      </w:r>
      <w:r w:rsidRPr="001C381A">
        <w:rPr>
          <w:b/>
          <w:i/>
          <w:u w:val="single"/>
        </w:rPr>
        <w:t>:</w:t>
      </w:r>
      <w:r w:rsidRPr="004939E9">
        <w:rPr>
          <w:i/>
        </w:rPr>
        <w:t xml:space="preserve"> </w:t>
      </w:r>
      <w:r>
        <w:rPr>
          <w:i/>
        </w:rPr>
        <w:t xml:space="preserve">For transmitter UE’s sidelink HARQ reporting to </w:t>
      </w:r>
      <w:proofErr w:type="spellStart"/>
      <w:r>
        <w:rPr>
          <w:i/>
        </w:rPr>
        <w:t>gNB</w:t>
      </w:r>
      <w:proofErr w:type="spellEnd"/>
      <w:r>
        <w:rPr>
          <w:i/>
        </w:rPr>
        <w:t>,</w:t>
      </w:r>
      <w:r w:rsidRPr="001C381A">
        <w:rPr>
          <w:i/>
        </w:rPr>
        <w:t xml:space="preserve"> </w:t>
      </w:r>
      <w:r>
        <w:rPr>
          <w:i/>
        </w:rPr>
        <w:t xml:space="preserve">the time gap between the last PSSCH transmission and the corresponding PUCCH transmission should be indicated in the NR DCI for scheduling sidelink transmissions. The indication is via an entry index of a configured time gap table. </w:t>
      </w:r>
    </w:p>
    <w:p w14:paraId="2758EBC9" w14:textId="77777777" w:rsidR="00CD73BE" w:rsidRDefault="00CD73BE" w:rsidP="00CD73BE"/>
    <w:p w14:paraId="195A4966" w14:textId="32067AAA" w:rsidR="00CD73BE" w:rsidRDefault="00CD73BE" w:rsidP="00CD73BE">
      <w:pPr>
        <w:jc w:val="both"/>
      </w:pPr>
      <w:r>
        <w:t>In N</w:t>
      </w:r>
      <w:r w:rsidR="00A56BB7">
        <w:t xml:space="preserve">R </w:t>
      </w:r>
      <w:proofErr w:type="spellStart"/>
      <w:r w:rsidR="00A56BB7">
        <w:t>Uu</w:t>
      </w:r>
      <w:proofErr w:type="spellEnd"/>
      <w:r w:rsidR="00A56BB7">
        <w:t xml:space="preserve"> link</w:t>
      </w:r>
      <w:r>
        <w:t>, PUCCH resource set is determined based on UCI payload size, while PUCCH resource within the determined PUCCH resource set is indicated via the corresponding PDCCH. The similar mechanism could be extended to NR sidelink. Specifically, PUCCH resource set is determined based on</w:t>
      </w:r>
      <w:r w:rsidR="00BF1B3C">
        <w:t xml:space="preserve"> </w:t>
      </w:r>
      <w:r>
        <w:t>sidelink HARQ ACK/NACK payload size, while PUCCH resource within the determined PUCCH resource set is indicated via the corresponding PDCCH. Considering the number of sidelink HARQ ACK/NACK bits in release 16 is likely less than 2, it is</w:t>
      </w:r>
      <w:r w:rsidR="00A56BB7">
        <w:t xml:space="preserve"> probably</w:t>
      </w:r>
      <w:r>
        <w:t xml:space="preserve"> that only the first PUCCH resource set is used for sidelink HARQ report.  </w:t>
      </w:r>
    </w:p>
    <w:p w14:paraId="37BE9D8E" w14:textId="77777777" w:rsidR="00CD73BE" w:rsidRDefault="00CD73BE" w:rsidP="00CD73BE">
      <w:pPr>
        <w:jc w:val="both"/>
      </w:pPr>
    </w:p>
    <w:p w14:paraId="26AF1FB6" w14:textId="02562A06" w:rsidR="00CD73BE" w:rsidRDefault="00CD73BE" w:rsidP="00CD73BE">
      <w:pPr>
        <w:jc w:val="both"/>
      </w:pPr>
      <w:r w:rsidRPr="001C381A">
        <w:rPr>
          <w:b/>
          <w:i/>
          <w:u w:val="single"/>
        </w:rPr>
        <w:t xml:space="preserve">Proposal </w:t>
      </w:r>
      <w:r w:rsidR="005556E9">
        <w:rPr>
          <w:b/>
          <w:i/>
          <w:u w:val="single"/>
        </w:rPr>
        <w:t>6</w:t>
      </w:r>
      <w:r w:rsidRPr="001C381A">
        <w:rPr>
          <w:b/>
          <w:i/>
          <w:u w:val="single"/>
        </w:rPr>
        <w:t>:</w:t>
      </w:r>
      <w:r w:rsidRPr="001C381A">
        <w:rPr>
          <w:i/>
        </w:rPr>
        <w:t xml:space="preserve"> </w:t>
      </w:r>
      <w:r>
        <w:rPr>
          <w:i/>
        </w:rPr>
        <w:t xml:space="preserve">For transmitter UE’s sidelink HARQ reporting to </w:t>
      </w:r>
      <w:proofErr w:type="spellStart"/>
      <w:r>
        <w:rPr>
          <w:i/>
        </w:rPr>
        <w:t>gNB</w:t>
      </w:r>
      <w:proofErr w:type="spellEnd"/>
      <w:r>
        <w:rPr>
          <w:i/>
        </w:rPr>
        <w:t>, the PUCCH resource determination follows the similar scheme as that for UCI reporting.</w:t>
      </w:r>
    </w:p>
    <w:p w14:paraId="10472C4E" w14:textId="77777777" w:rsidR="00CD73BE" w:rsidRDefault="00CD73BE" w:rsidP="001E7281"/>
    <w:p w14:paraId="20E1AE6F" w14:textId="3138F3CF" w:rsidR="00186C28" w:rsidRPr="0026499F" w:rsidRDefault="00CF7F94" w:rsidP="0026499F">
      <w:pPr>
        <w:pStyle w:val="Heading2"/>
        <w:ind w:left="720" w:hanging="720"/>
        <w:rPr>
          <w:sz w:val="28"/>
        </w:rPr>
      </w:pPr>
      <w:r>
        <w:rPr>
          <w:sz w:val="28"/>
        </w:rPr>
        <w:t>Shared carrier</w:t>
      </w:r>
    </w:p>
    <w:p w14:paraId="15850AA9" w14:textId="2E25AE2F" w:rsidR="00CE0AAD" w:rsidRPr="00BD6F91" w:rsidRDefault="009F088A" w:rsidP="00CE0AAD">
      <w:pPr>
        <w:jc w:val="both"/>
      </w:pPr>
      <w:r w:rsidRPr="00BD6F91">
        <w:t xml:space="preserve">NR </w:t>
      </w:r>
      <w:r w:rsidR="00BD6F91">
        <w:t xml:space="preserve">supports to </w:t>
      </w:r>
      <w:r w:rsidRPr="00BD6F91">
        <w:t>assig</w:t>
      </w:r>
      <w:r w:rsidR="00A56BB7">
        <w:t>n</w:t>
      </w:r>
      <w:r w:rsidRPr="00BD6F91">
        <w:t xml:space="preserve"> resources </w:t>
      </w:r>
      <w:r w:rsidR="00A56BB7">
        <w:t>in</w:t>
      </w:r>
      <w:r w:rsidRPr="00BD6F91">
        <w:t xml:space="preserve"> shared licensed carrier between </w:t>
      </w:r>
      <w:proofErr w:type="spellStart"/>
      <w:r w:rsidRPr="00BD6F91">
        <w:t>Uu</w:t>
      </w:r>
      <w:proofErr w:type="spellEnd"/>
      <w:r w:rsidRPr="00BD6F91">
        <w:t xml:space="preserve"> </w:t>
      </w:r>
      <w:r w:rsidR="00A56BB7">
        <w:t xml:space="preserve">link </w:t>
      </w:r>
      <w:r w:rsidRPr="00BD6F91">
        <w:t xml:space="preserve">and sidelink. Three types of symbols (DL, UL, F) are defined in a slot format. </w:t>
      </w:r>
      <w:r w:rsidR="00CE0AAD" w:rsidRPr="00BD6F91">
        <w:t>The slot format indication can be configured via cell-specific SIB or UE-specific RRC signaling</w:t>
      </w:r>
      <w:r w:rsidR="00BD6F91">
        <w:t xml:space="preserve">. The configured flexible symbols can be further dynamically scheduled for uplink or downlink transmissions. </w:t>
      </w:r>
      <w:r w:rsidR="00CE0AAD" w:rsidRPr="00BD6F91">
        <w:t xml:space="preserve">The </w:t>
      </w:r>
      <w:r w:rsidR="00BF1B3C">
        <w:t xml:space="preserve">use of </w:t>
      </w:r>
      <w:r w:rsidR="00CE0AAD" w:rsidRPr="00BD6F91">
        <w:t xml:space="preserve">UE-specific RRC signaling </w:t>
      </w:r>
      <w:r w:rsidR="00BD6F91">
        <w:t xml:space="preserve">and dynamic scheduling </w:t>
      </w:r>
      <w:r w:rsidR="00BF1B3C">
        <w:t>for slot format indication</w:t>
      </w:r>
      <w:r w:rsidR="00CE0AAD" w:rsidRPr="00BD6F91">
        <w:t xml:space="preserve"> </w:t>
      </w:r>
      <w:r w:rsidR="00BF1B3C">
        <w:t xml:space="preserve">will </w:t>
      </w:r>
      <w:r w:rsidR="00CE0AAD" w:rsidRPr="00BD6F91">
        <w:t xml:space="preserve">lead to misalignment between transmitter UE and receiver UE. Hence, it is preferred to </w:t>
      </w:r>
      <w:r w:rsidR="00A56BB7">
        <w:t xml:space="preserve">only </w:t>
      </w:r>
      <w:r w:rsidR="00CE0AAD" w:rsidRPr="00BD6F91">
        <w:t>use cell</w:t>
      </w:r>
      <w:r w:rsidR="00BF1B3C">
        <w:t>-</w:t>
      </w:r>
      <w:r w:rsidR="00CE0AAD" w:rsidRPr="00BD6F91">
        <w:t>specific configured symbols for sidelink transmission.</w:t>
      </w:r>
      <w:r w:rsidR="00BD6F91">
        <w:t xml:space="preserve"> </w:t>
      </w:r>
    </w:p>
    <w:p w14:paraId="4B84BDA0" w14:textId="77777777" w:rsidR="00BD6F91" w:rsidRDefault="00BD6F91" w:rsidP="00BD6F91">
      <w:pPr>
        <w:jc w:val="both"/>
        <w:rPr>
          <w:rFonts w:eastAsia="Calibri"/>
          <w:bCs/>
        </w:rPr>
      </w:pPr>
    </w:p>
    <w:p w14:paraId="3AF436B7" w14:textId="40598234" w:rsidR="00BD6F91" w:rsidRPr="00BD6F91" w:rsidRDefault="00BD6F91" w:rsidP="00BD6F91">
      <w:pPr>
        <w:jc w:val="both"/>
      </w:pPr>
      <w:r w:rsidRPr="00BD6F91">
        <w:t xml:space="preserve">To avoid the interference between downlink transmission and sidelink transmission, the DL </w:t>
      </w:r>
      <w:r w:rsidR="00D8146E">
        <w:t>symbol</w:t>
      </w:r>
      <w:r w:rsidRPr="00BD6F91">
        <w:t xml:space="preserve">s should not be used for sidelink transmission. </w:t>
      </w:r>
      <w:r>
        <w:t xml:space="preserve">Also, the flexible symbols should not be used for sidelink transmissions, since it may be dynamically scheduled for downlink transmission. Hence, we propose to use only cell-specific UL resources for sidelink transmission in shared carrier. </w:t>
      </w:r>
    </w:p>
    <w:p w14:paraId="151AA9E3" w14:textId="77777777" w:rsidR="00BD6F91" w:rsidRDefault="00BD6F91" w:rsidP="00CE0AAD">
      <w:pPr>
        <w:jc w:val="both"/>
        <w:rPr>
          <w:rFonts w:eastAsia="Calibri"/>
          <w:bCs/>
        </w:rPr>
      </w:pPr>
    </w:p>
    <w:p w14:paraId="5D145B7F" w14:textId="44E4D73D" w:rsidR="009F088A" w:rsidRDefault="00980431" w:rsidP="00FC7E30">
      <w:pPr>
        <w:jc w:val="both"/>
        <w:rPr>
          <w:i/>
        </w:rPr>
      </w:pPr>
      <w:r w:rsidRPr="001C381A">
        <w:rPr>
          <w:b/>
          <w:i/>
          <w:u w:val="single"/>
        </w:rPr>
        <w:t xml:space="preserve">Proposal </w:t>
      </w:r>
      <w:r w:rsidR="005556E9">
        <w:rPr>
          <w:b/>
          <w:i/>
          <w:u w:val="single"/>
        </w:rPr>
        <w:t>7</w:t>
      </w:r>
      <w:r w:rsidRPr="001C381A">
        <w:rPr>
          <w:b/>
          <w:i/>
          <w:u w:val="single"/>
        </w:rPr>
        <w:t>:</w:t>
      </w:r>
      <w:r>
        <w:rPr>
          <w:i/>
        </w:rPr>
        <w:t xml:space="preserve"> </w:t>
      </w:r>
      <w:r w:rsidR="009F088A">
        <w:rPr>
          <w:i/>
        </w:rPr>
        <w:t xml:space="preserve">NR supports the sidelink transmission on cell-specific UL resources in shared carrier. </w:t>
      </w:r>
    </w:p>
    <w:p w14:paraId="7018DC3A" w14:textId="7EE43AD2" w:rsidR="00892BC9" w:rsidRDefault="00892BC9" w:rsidP="00145FE2">
      <w:pPr>
        <w:rPr>
          <w:rFonts w:eastAsia="SimSun"/>
          <w:b/>
          <w:i/>
          <w:sz w:val="22"/>
          <w:szCs w:val="22"/>
        </w:rPr>
      </w:pPr>
    </w:p>
    <w:p w14:paraId="2896E657" w14:textId="2DF29AD0" w:rsidR="00854A60" w:rsidRPr="00A6576F" w:rsidRDefault="009C5A97" w:rsidP="00FB330B">
      <w:pPr>
        <w:pStyle w:val="Heading1"/>
      </w:pPr>
      <w:r w:rsidRPr="00A6576F">
        <w:t>Conclusion</w:t>
      </w:r>
    </w:p>
    <w:p w14:paraId="56311B75" w14:textId="583C72DE" w:rsidR="00E32950" w:rsidRDefault="008A456C" w:rsidP="00D8146E">
      <w:pPr>
        <w:jc w:val="both"/>
      </w:pPr>
      <w:r w:rsidRPr="00D8146E">
        <w:rPr>
          <w:rFonts w:eastAsia="MS Mincho"/>
          <w:lang w:eastAsia="ja-JP"/>
        </w:rPr>
        <w:t>In this contribution, w</w:t>
      </w:r>
      <w:r w:rsidR="003031F8" w:rsidRPr="00D8146E">
        <w:rPr>
          <w:rFonts w:eastAsia="MS Mincho"/>
          <w:lang w:eastAsia="ja-JP"/>
        </w:rPr>
        <w:t xml:space="preserve">e </w:t>
      </w:r>
      <w:r w:rsidRPr="00D8146E">
        <w:rPr>
          <w:rFonts w:eastAsia="MS Mincho"/>
          <w:lang w:eastAsia="ja-JP"/>
        </w:rPr>
        <w:t xml:space="preserve">provided our view on </w:t>
      </w:r>
      <w:r w:rsidR="005556E9" w:rsidRPr="00D8146E">
        <w:rPr>
          <w:rFonts w:eastAsia="MS Mincho"/>
          <w:lang w:eastAsia="ja-JP"/>
        </w:rPr>
        <w:t xml:space="preserve">Mode 1 resource allocation. </w:t>
      </w:r>
      <w:r w:rsidRPr="00D8146E">
        <w:t>Our</w:t>
      </w:r>
      <w:r>
        <w:t xml:space="preserve"> proposals are as follows:</w:t>
      </w:r>
    </w:p>
    <w:p w14:paraId="2C188FE0" w14:textId="5920634F" w:rsidR="008A456C" w:rsidRDefault="008A456C" w:rsidP="000A1967">
      <w:pPr>
        <w:rPr>
          <w:rFonts w:eastAsia="MS Mincho"/>
          <w:sz w:val="22"/>
          <w:szCs w:val="22"/>
          <w:lang w:eastAsia="ja-JP"/>
        </w:rPr>
      </w:pPr>
    </w:p>
    <w:p w14:paraId="4A8EA1FE" w14:textId="3AE89B96" w:rsidR="004939E9" w:rsidRPr="00D8146E" w:rsidRDefault="004939E9" w:rsidP="00741AF6">
      <w:pPr>
        <w:spacing w:after="120"/>
        <w:jc w:val="both"/>
        <w:rPr>
          <w:i/>
        </w:rPr>
      </w:pPr>
      <w:r w:rsidRPr="001C381A">
        <w:rPr>
          <w:b/>
          <w:i/>
          <w:u w:val="single"/>
        </w:rPr>
        <w:t xml:space="preserve">Proposal </w:t>
      </w:r>
      <w:r>
        <w:rPr>
          <w:b/>
          <w:i/>
          <w:u w:val="single"/>
        </w:rPr>
        <w:t>1</w:t>
      </w:r>
      <w:r w:rsidRPr="001C381A">
        <w:rPr>
          <w:b/>
          <w:i/>
          <w:u w:val="single"/>
        </w:rPr>
        <w:t>:</w:t>
      </w:r>
      <w:r w:rsidRPr="001C381A">
        <w:rPr>
          <w:i/>
        </w:rPr>
        <w:t xml:space="preserve"> </w:t>
      </w:r>
      <w:r>
        <w:rPr>
          <w:i/>
        </w:rPr>
        <w:t xml:space="preserve">A common NR DCI format is used to schedule NR sidelink transmissions, in support of both dynamic scheduling and type 2 configured grant. </w:t>
      </w:r>
    </w:p>
    <w:p w14:paraId="404C70E0" w14:textId="77777777" w:rsidR="004939E9" w:rsidRDefault="004939E9" w:rsidP="00741AF6">
      <w:pPr>
        <w:spacing w:after="120"/>
        <w:jc w:val="both"/>
        <w:rPr>
          <w:i/>
        </w:rPr>
      </w:pPr>
      <w:r w:rsidRPr="001C381A">
        <w:rPr>
          <w:b/>
          <w:i/>
          <w:u w:val="single"/>
        </w:rPr>
        <w:lastRenderedPageBreak/>
        <w:t xml:space="preserve">Proposal </w:t>
      </w:r>
      <w:r>
        <w:rPr>
          <w:b/>
          <w:i/>
          <w:u w:val="single"/>
        </w:rPr>
        <w:t>2</w:t>
      </w:r>
      <w:r w:rsidRPr="001C381A">
        <w:rPr>
          <w:b/>
          <w:i/>
          <w:u w:val="single"/>
        </w:rPr>
        <w:t>:</w:t>
      </w:r>
      <w:r w:rsidRPr="001C381A">
        <w:rPr>
          <w:i/>
        </w:rPr>
        <w:t xml:space="preserve"> </w:t>
      </w:r>
      <w:r w:rsidRPr="00186C28">
        <w:rPr>
          <w:i/>
        </w:rPr>
        <w:t>The</w:t>
      </w:r>
      <w:r>
        <w:rPr>
          <w:i/>
        </w:rPr>
        <w:t xml:space="preserve"> NR</w:t>
      </w:r>
      <w:r w:rsidRPr="00186C28">
        <w:rPr>
          <w:i/>
        </w:rPr>
        <w:t xml:space="preserve"> DCI </w:t>
      </w:r>
      <w:r>
        <w:rPr>
          <w:i/>
        </w:rPr>
        <w:t xml:space="preserve">format </w:t>
      </w:r>
      <w:r w:rsidRPr="00186C28">
        <w:rPr>
          <w:i/>
        </w:rPr>
        <w:t xml:space="preserve">for </w:t>
      </w:r>
      <w:r>
        <w:rPr>
          <w:i/>
        </w:rPr>
        <w:t>scheduling NR sidelink should be payload size aligned to an existing NR DCI format.</w:t>
      </w:r>
    </w:p>
    <w:p w14:paraId="47846CEA" w14:textId="06BA7A0B" w:rsidR="004939E9" w:rsidRPr="00D8146E" w:rsidRDefault="004939E9" w:rsidP="00741AF6">
      <w:pPr>
        <w:spacing w:after="120"/>
        <w:jc w:val="both"/>
        <w:rPr>
          <w:i/>
        </w:rPr>
      </w:pPr>
      <w:r w:rsidRPr="001C381A">
        <w:rPr>
          <w:b/>
          <w:i/>
          <w:u w:val="single"/>
        </w:rPr>
        <w:t xml:space="preserve">Proposal </w:t>
      </w:r>
      <w:r>
        <w:rPr>
          <w:b/>
          <w:i/>
          <w:u w:val="single"/>
        </w:rPr>
        <w:t>3</w:t>
      </w:r>
      <w:r w:rsidRPr="001C381A">
        <w:rPr>
          <w:b/>
          <w:i/>
          <w:u w:val="single"/>
        </w:rPr>
        <w:t>:</w:t>
      </w:r>
      <w:r w:rsidRPr="001C381A">
        <w:rPr>
          <w:i/>
        </w:rPr>
        <w:t xml:space="preserve"> </w:t>
      </w:r>
      <w:r w:rsidRPr="00186C28">
        <w:rPr>
          <w:i/>
        </w:rPr>
        <w:t>T</w:t>
      </w:r>
      <w:r>
        <w:rPr>
          <w:i/>
        </w:rPr>
        <w:t>wo different sidelink RNTIs are introduced for NR DCI scheduling sidelink transmissions: one for dynamic grant and the other for type 2 configured grant. Sidelink RNTI is used to scramble the CRC bits of NR DCI.</w:t>
      </w:r>
    </w:p>
    <w:p w14:paraId="6C41C66E" w14:textId="4AE0F3F7" w:rsidR="005556E9" w:rsidRPr="00D8146E" w:rsidRDefault="005556E9" w:rsidP="00741AF6">
      <w:pPr>
        <w:spacing w:after="120"/>
        <w:jc w:val="both"/>
      </w:pPr>
      <w:r w:rsidRPr="001C381A">
        <w:rPr>
          <w:b/>
          <w:i/>
          <w:u w:val="single"/>
        </w:rPr>
        <w:t xml:space="preserve">Proposal </w:t>
      </w:r>
      <w:r>
        <w:rPr>
          <w:b/>
          <w:i/>
          <w:u w:val="single"/>
        </w:rPr>
        <w:t>4</w:t>
      </w:r>
      <w:r w:rsidRPr="001C381A">
        <w:rPr>
          <w:b/>
          <w:i/>
          <w:u w:val="single"/>
        </w:rPr>
        <w:t>:</w:t>
      </w:r>
      <w:r w:rsidRPr="001C381A">
        <w:rPr>
          <w:i/>
        </w:rPr>
        <w:t xml:space="preserve"> </w:t>
      </w:r>
      <w:r w:rsidRPr="00186C28">
        <w:rPr>
          <w:i/>
        </w:rPr>
        <w:t>T</w:t>
      </w:r>
      <w:r>
        <w:rPr>
          <w:i/>
        </w:rPr>
        <w:t>he determination of time slot of the first PSSCH transmission scheduled by DCI follows the similar scheme as that for PUSCH transmission.</w:t>
      </w:r>
    </w:p>
    <w:p w14:paraId="31FDD570" w14:textId="5105AA76" w:rsidR="005556E9" w:rsidRPr="005556E9" w:rsidRDefault="004939E9" w:rsidP="00741AF6">
      <w:pPr>
        <w:spacing w:after="120"/>
        <w:jc w:val="both"/>
        <w:rPr>
          <w:i/>
        </w:rPr>
      </w:pPr>
      <w:r w:rsidRPr="001C381A">
        <w:rPr>
          <w:b/>
          <w:i/>
          <w:u w:val="single"/>
        </w:rPr>
        <w:t xml:space="preserve">Proposal </w:t>
      </w:r>
      <w:r>
        <w:rPr>
          <w:b/>
          <w:i/>
          <w:u w:val="single"/>
        </w:rPr>
        <w:t>5</w:t>
      </w:r>
      <w:r w:rsidRPr="001C381A">
        <w:rPr>
          <w:b/>
          <w:i/>
          <w:u w:val="single"/>
        </w:rPr>
        <w:t>:</w:t>
      </w:r>
      <w:r w:rsidRPr="004939E9">
        <w:rPr>
          <w:i/>
        </w:rPr>
        <w:t xml:space="preserve"> </w:t>
      </w:r>
      <w:r>
        <w:rPr>
          <w:i/>
        </w:rPr>
        <w:t xml:space="preserve">For transmitter UE’s sidelink HARQ reporting to </w:t>
      </w:r>
      <w:proofErr w:type="spellStart"/>
      <w:r>
        <w:rPr>
          <w:i/>
        </w:rPr>
        <w:t>gNB</w:t>
      </w:r>
      <w:proofErr w:type="spellEnd"/>
      <w:r>
        <w:rPr>
          <w:i/>
        </w:rPr>
        <w:t>,</w:t>
      </w:r>
      <w:r w:rsidRPr="001C381A">
        <w:rPr>
          <w:i/>
        </w:rPr>
        <w:t xml:space="preserve"> </w:t>
      </w:r>
      <w:r>
        <w:rPr>
          <w:i/>
        </w:rPr>
        <w:t xml:space="preserve">the time gap between the last PSSCH transmission and the corresponding PUCCH transmission should be indicated in the NR DCI for scheduling sidelink transmissions. The indication is via an entry index of a configured time gap table. </w:t>
      </w:r>
    </w:p>
    <w:p w14:paraId="63C2DBF3" w14:textId="61695186" w:rsidR="00832848" w:rsidRPr="00D8146E" w:rsidRDefault="005556E9" w:rsidP="00741AF6">
      <w:pPr>
        <w:spacing w:after="120"/>
        <w:jc w:val="both"/>
      </w:pPr>
      <w:r w:rsidRPr="001C381A">
        <w:rPr>
          <w:b/>
          <w:i/>
          <w:u w:val="single"/>
        </w:rPr>
        <w:t xml:space="preserve">Proposal </w:t>
      </w:r>
      <w:r>
        <w:rPr>
          <w:b/>
          <w:i/>
          <w:u w:val="single"/>
        </w:rPr>
        <w:t>6</w:t>
      </w:r>
      <w:r w:rsidRPr="001C381A">
        <w:rPr>
          <w:b/>
          <w:i/>
          <w:u w:val="single"/>
        </w:rPr>
        <w:t>:</w:t>
      </w:r>
      <w:r w:rsidRPr="001C381A">
        <w:rPr>
          <w:i/>
        </w:rPr>
        <w:t xml:space="preserve"> </w:t>
      </w:r>
      <w:r>
        <w:rPr>
          <w:i/>
        </w:rPr>
        <w:t xml:space="preserve">For transmitter UE’s sidelink HARQ reporting to </w:t>
      </w:r>
      <w:proofErr w:type="spellStart"/>
      <w:r>
        <w:rPr>
          <w:i/>
        </w:rPr>
        <w:t>gNB</w:t>
      </w:r>
      <w:proofErr w:type="spellEnd"/>
      <w:r>
        <w:rPr>
          <w:i/>
        </w:rPr>
        <w:t>, the PUCCH resource determination follows the similar scheme as that for UCI reporting.</w:t>
      </w:r>
    </w:p>
    <w:p w14:paraId="54BC25DE" w14:textId="1A220A8A" w:rsidR="00D8146E" w:rsidRDefault="00D8146E" w:rsidP="00741AF6">
      <w:pPr>
        <w:spacing w:after="120"/>
        <w:jc w:val="both"/>
        <w:rPr>
          <w:i/>
        </w:rPr>
      </w:pPr>
      <w:r w:rsidRPr="001C381A">
        <w:rPr>
          <w:b/>
          <w:i/>
          <w:u w:val="single"/>
        </w:rPr>
        <w:t xml:space="preserve">Proposal </w:t>
      </w:r>
      <w:r>
        <w:rPr>
          <w:b/>
          <w:i/>
          <w:u w:val="single"/>
        </w:rPr>
        <w:t>7</w:t>
      </w:r>
      <w:r w:rsidRPr="001C381A">
        <w:rPr>
          <w:b/>
          <w:i/>
          <w:u w:val="single"/>
        </w:rPr>
        <w:t>:</w:t>
      </w:r>
      <w:r>
        <w:rPr>
          <w:i/>
        </w:rPr>
        <w:t xml:space="preserve"> NR supports the sidelink transmission on cell-specific UL resources in shared carrier. </w:t>
      </w:r>
    </w:p>
    <w:p w14:paraId="0C633385" w14:textId="77777777" w:rsidR="00D8146E" w:rsidRPr="00A6576F" w:rsidRDefault="00D8146E" w:rsidP="000A1967">
      <w:pPr>
        <w:rPr>
          <w:rFonts w:eastAsia="MS Mincho"/>
          <w:sz w:val="22"/>
          <w:szCs w:val="22"/>
          <w:lang w:eastAsia="ja-JP"/>
        </w:rPr>
      </w:pPr>
    </w:p>
    <w:p w14:paraId="2E75F001" w14:textId="77777777" w:rsidR="007E70BB" w:rsidRPr="00A6576F" w:rsidRDefault="005C63AE" w:rsidP="007E70BB">
      <w:pPr>
        <w:pStyle w:val="Heading1"/>
      </w:pPr>
      <w:r w:rsidRPr="00A6576F">
        <w:t>References</w:t>
      </w:r>
    </w:p>
    <w:p w14:paraId="467B8D53" w14:textId="3CAC13EA" w:rsidR="00A6576F" w:rsidRPr="00546C2A" w:rsidRDefault="007F1BA7" w:rsidP="0009334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20471832"/>
      <w:bookmarkStart w:id="2" w:name="_Ref20563970"/>
      <w:r w:rsidRPr="00546C2A">
        <w:t>Chairman’s Notes, 3GPP TSG RAN1 WG1 #98 Meeting, Prague, CZ, Aug. 2019.</w:t>
      </w:r>
      <w:bookmarkEnd w:id="1"/>
      <w:bookmarkEnd w:id="2"/>
      <w:r w:rsidRPr="00546C2A">
        <w:t xml:space="preserve"> </w:t>
      </w:r>
    </w:p>
    <w:p w14:paraId="3084DE83" w14:textId="7CE29C99" w:rsidR="00C375D2" w:rsidRPr="00546C2A" w:rsidRDefault="00C375D2" w:rsidP="0009334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20574639"/>
      <w:r w:rsidRPr="00546C2A">
        <w:t>Chairman’s Notes, 3GPP TSG RAN1 WG1 #97 Meeting, Reno, USA, May 2019.</w:t>
      </w:r>
      <w:bookmarkEnd w:id="3"/>
    </w:p>
    <w:sectPr w:rsidR="00C375D2" w:rsidRPr="00546C2A"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BE3E8" w14:textId="77777777" w:rsidR="00563845" w:rsidRDefault="00563845">
      <w:r>
        <w:separator/>
      </w:r>
    </w:p>
  </w:endnote>
  <w:endnote w:type="continuationSeparator" w:id="0">
    <w:p w14:paraId="0558A911" w14:textId="77777777" w:rsidR="00563845" w:rsidRDefault="00563845">
      <w:r>
        <w:continuationSeparator/>
      </w:r>
    </w:p>
  </w:endnote>
  <w:endnote w:type="continuationNotice" w:id="1">
    <w:p w14:paraId="6F51E485" w14:textId="77777777" w:rsidR="00563845" w:rsidRDefault="005638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4939E9" w:rsidRDefault="004939E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633F1D" w14:textId="77777777" w:rsidR="00563845" w:rsidRDefault="00563845">
      <w:r>
        <w:separator/>
      </w:r>
    </w:p>
  </w:footnote>
  <w:footnote w:type="continuationSeparator" w:id="0">
    <w:p w14:paraId="2A6045B8" w14:textId="77777777" w:rsidR="00563845" w:rsidRDefault="00563845">
      <w:r>
        <w:continuationSeparator/>
      </w:r>
    </w:p>
  </w:footnote>
  <w:footnote w:type="continuationNotice" w:id="1">
    <w:p w14:paraId="4982B57C" w14:textId="77777777" w:rsidR="00563845" w:rsidRDefault="005638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9"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7"/>
  </w:num>
  <w:num w:numId="4">
    <w:abstractNumId w:val="8"/>
  </w:num>
  <w:num w:numId="5">
    <w:abstractNumId w:val="5"/>
  </w:num>
  <w:num w:numId="6">
    <w:abstractNumId w:val="10"/>
  </w:num>
  <w:num w:numId="7">
    <w:abstractNumId w:val="15"/>
  </w:num>
  <w:num w:numId="8">
    <w:abstractNumId w:val="6"/>
  </w:num>
  <w:num w:numId="9">
    <w:abstractNumId w:val="13"/>
  </w:num>
  <w:num w:numId="10">
    <w:abstractNumId w:val="0"/>
  </w:num>
  <w:num w:numId="11">
    <w:abstractNumId w:val="18"/>
  </w:num>
  <w:num w:numId="12">
    <w:abstractNumId w:val="2"/>
  </w:num>
  <w:num w:numId="13">
    <w:abstractNumId w:val="14"/>
  </w:num>
  <w:num w:numId="14">
    <w:abstractNumId w:val="9"/>
  </w:num>
  <w:num w:numId="15">
    <w:abstractNumId w:val="19"/>
  </w:num>
  <w:num w:numId="16">
    <w:abstractNumId w:val="21"/>
  </w:num>
  <w:num w:numId="17">
    <w:abstractNumId w:val="4"/>
  </w:num>
  <w:num w:numId="18">
    <w:abstractNumId w:val="16"/>
  </w:num>
  <w:num w:numId="19">
    <w:abstractNumId w:val="3"/>
  </w:num>
  <w:num w:numId="20">
    <w:abstractNumId w:val="17"/>
  </w:num>
  <w:num w:numId="21">
    <w:abstractNumId w:val="20"/>
  </w:num>
  <w:num w:numId="22">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42C"/>
    <w:rsid w:val="000207A2"/>
    <w:rsid w:val="0002093E"/>
    <w:rsid w:val="00021321"/>
    <w:rsid w:val="00023408"/>
    <w:rsid w:val="000243BF"/>
    <w:rsid w:val="000244B9"/>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34F"/>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797"/>
    <w:rsid w:val="000D4B25"/>
    <w:rsid w:val="000D4BE8"/>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34A"/>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3C80"/>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C28"/>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BFF"/>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499F"/>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497B"/>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373A"/>
    <w:rsid w:val="002F37A9"/>
    <w:rsid w:val="002F455D"/>
    <w:rsid w:val="002F4597"/>
    <w:rsid w:val="002F459D"/>
    <w:rsid w:val="002F4940"/>
    <w:rsid w:val="002F49ED"/>
    <w:rsid w:val="002F4EEB"/>
    <w:rsid w:val="002F4F23"/>
    <w:rsid w:val="002F539B"/>
    <w:rsid w:val="002F6AD8"/>
    <w:rsid w:val="002F6C3F"/>
    <w:rsid w:val="002F7102"/>
    <w:rsid w:val="002F7457"/>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911"/>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219"/>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637"/>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48E2"/>
    <w:rsid w:val="003A52F5"/>
    <w:rsid w:val="003A5B0A"/>
    <w:rsid w:val="003A5FCD"/>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C8B"/>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9E9"/>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2A2"/>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146D"/>
    <w:rsid w:val="004D1A6A"/>
    <w:rsid w:val="004D1C02"/>
    <w:rsid w:val="004D2003"/>
    <w:rsid w:val="004D2209"/>
    <w:rsid w:val="004D2AF0"/>
    <w:rsid w:val="004D2C18"/>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6A4"/>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C2A"/>
    <w:rsid w:val="00546D31"/>
    <w:rsid w:val="00546D5A"/>
    <w:rsid w:val="00547A1B"/>
    <w:rsid w:val="00550001"/>
    <w:rsid w:val="005500B0"/>
    <w:rsid w:val="00550814"/>
    <w:rsid w:val="00551007"/>
    <w:rsid w:val="005517F4"/>
    <w:rsid w:val="005518BD"/>
    <w:rsid w:val="00551FE1"/>
    <w:rsid w:val="005521B1"/>
    <w:rsid w:val="005528EC"/>
    <w:rsid w:val="00553221"/>
    <w:rsid w:val="00553377"/>
    <w:rsid w:val="0055357E"/>
    <w:rsid w:val="00553598"/>
    <w:rsid w:val="00553DD6"/>
    <w:rsid w:val="00553E17"/>
    <w:rsid w:val="005545B8"/>
    <w:rsid w:val="00554E19"/>
    <w:rsid w:val="005556E9"/>
    <w:rsid w:val="00556504"/>
    <w:rsid w:val="00556E14"/>
    <w:rsid w:val="00560280"/>
    <w:rsid w:val="00560304"/>
    <w:rsid w:val="005611C9"/>
    <w:rsid w:val="0056121F"/>
    <w:rsid w:val="00561658"/>
    <w:rsid w:val="005617CF"/>
    <w:rsid w:val="00561C13"/>
    <w:rsid w:val="00561D43"/>
    <w:rsid w:val="005623B3"/>
    <w:rsid w:val="00562990"/>
    <w:rsid w:val="00562A71"/>
    <w:rsid w:val="00562EB7"/>
    <w:rsid w:val="00563697"/>
    <w:rsid w:val="00563845"/>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6EB"/>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7BC"/>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81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6FCE"/>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1AF6"/>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6EA6"/>
    <w:rsid w:val="00767266"/>
    <w:rsid w:val="0077013A"/>
    <w:rsid w:val="00770154"/>
    <w:rsid w:val="00771219"/>
    <w:rsid w:val="00772534"/>
    <w:rsid w:val="00772584"/>
    <w:rsid w:val="007730BD"/>
    <w:rsid w:val="00773531"/>
    <w:rsid w:val="00773807"/>
    <w:rsid w:val="00773879"/>
    <w:rsid w:val="00773DFA"/>
    <w:rsid w:val="0077428B"/>
    <w:rsid w:val="007755F2"/>
    <w:rsid w:val="007757B1"/>
    <w:rsid w:val="00775ACC"/>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18F"/>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BA7"/>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5EE1"/>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56C"/>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18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0698"/>
    <w:rsid w:val="00991007"/>
    <w:rsid w:val="00991605"/>
    <w:rsid w:val="00991761"/>
    <w:rsid w:val="00991870"/>
    <w:rsid w:val="00991ADE"/>
    <w:rsid w:val="00991BE8"/>
    <w:rsid w:val="009924E3"/>
    <w:rsid w:val="00992516"/>
    <w:rsid w:val="0099299D"/>
    <w:rsid w:val="009929BE"/>
    <w:rsid w:val="00993049"/>
    <w:rsid w:val="009931A8"/>
    <w:rsid w:val="00994816"/>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8A"/>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73D"/>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BB7"/>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3F2"/>
    <w:rsid w:val="00AA51D6"/>
    <w:rsid w:val="00AA5A4B"/>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2F90"/>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639"/>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B57"/>
    <w:rsid w:val="00B50C4B"/>
    <w:rsid w:val="00B51602"/>
    <w:rsid w:val="00B51FEE"/>
    <w:rsid w:val="00B52A53"/>
    <w:rsid w:val="00B52A99"/>
    <w:rsid w:val="00B52D7F"/>
    <w:rsid w:val="00B52F6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972"/>
    <w:rsid w:val="00BD1AA5"/>
    <w:rsid w:val="00BD27AF"/>
    <w:rsid w:val="00BD3883"/>
    <w:rsid w:val="00BD48AC"/>
    <w:rsid w:val="00BD4CDD"/>
    <w:rsid w:val="00BD4FA5"/>
    <w:rsid w:val="00BD5F1A"/>
    <w:rsid w:val="00BD619F"/>
    <w:rsid w:val="00BD6F91"/>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3C"/>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5D2"/>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97B29"/>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147"/>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2FE3"/>
    <w:rsid w:val="00CD31A8"/>
    <w:rsid w:val="00CD337B"/>
    <w:rsid w:val="00CD3412"/>
    <w:rsid w:val="00CD4074"/>
    <w:rsid w:val="00CD424E"/>
    <w:rsid w:val="00CD5342"/>
    <w:rsid w:val="00CD5555"/>
    <w:rsid w:val="00CD73BE"/>
    <w:rsid w:val="00CD7877"/>
    <w:rsid w:val="00CD78AE"/>
    <w:rsid w:val="00CE0424"/>
    <w:rsid w:val="00CE0AAD"/>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CF7F94"/>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1247"/>
    <w:rsid w:val="00D72099"/>
    <w:rsid w:val="00D73192"/>
    <w:rsid w:val="00D73427"/>
    <w:rsid w:val="00D73A16"/>
    <w:rsid w:val="00D74277"/>
    <w:rsid w:val="00D74AEC"/>
    <w:rsid w:val="00D75936"/>
    <w:rsid w:val="00D7751A"/>
    <w:rsid w:val="00D77B1D"/>
    <w:rsid w:val="00D8021F"/>
    <w:rsid w:val="00D80383"/>
    <w:rsid w:val="00D80ADB"/>
    <w:rsid w:val="00D80B3E"/>
    <w:rsid w:val="00D8146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C7EC6"/>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809"/>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ADB"/>
    <w:rsid w:val="00E64F71"/>
    <w:rsid w:val="00E650C5"/>
    <w:rsid w:val="00E65486"/>
    <w:rsid w:val="00E65BD4"/>
    <w:rsid w:val="00E65DE5"/>
    <w:rsid w:val="00E661A7"/>
    <w:rsid w:val="00E665EC"/>
    <w:rsid w:val="00E67540"/>
    <w:rsid w:val="00E677DD"/>
    <w:rsid w:val="00E67998"/>
    <w:rsid w:val="00E67C51"/>
    <w:rsid w:val="00E7011B"/>
    <w:rsid w:val="00E7069F"/>
    <w:rsid w:val="00E72914"/>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732"/>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1E9E"/>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2FA6"/>
    <w:rsid w:val="00EF361E"/>
    <w:rsid w:val="00EF3A90"/>
    <w:rsid w:val="00EF4364"/>
    <w:rsid w:val="00EF46EC"/>
    <w:rsid w:val="00EF511A"/>
    <w:rsid w:val="00EF513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1A9"/>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EA9"/>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aliases w:val="H2,h2,Head2A,2,UNDERRUBRIK 1-2,DO NOT USE_h2,h21,H2 Char,h2 Char,标题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98E25C-1BF1-8B4D-AB98-418819482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379</TotalTime>
  <Pages>4</Pages>
  <Words>1542</Words>
  <Characters>7812</Characters>
  <Application>Microsoft Office Word</Application>
  <DocSecurity>0</DocSecurity>
  <Lines>156</Lines>
  <Paragraphs>57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Chunxuan Ye</cp:lastModifiedBy>
  <cp:revision>20</cp:revision>
  <cp:lastPrinted>2008-01-31T16:09:00Z</cp:lastPrinted>
  <dcterms:created xsi:type="dcterms:W3CDTF">2019-09-23T23:59:00Z</dcterms:created>
  <dcterms:modified xsi:type="dcterms:W3CDTF">2019-10-04T21:44:00Z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